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65B62" w14:textId="03BAF631" w:rsidR="00C1433E" w:rsidRPr="00C1433E" w:rsidRDefault="00C1433E" w:rsidP="00C1433E">
      <w:pPr>
        <w:pBdr>
          <w:top w:val="nil"/>
          <w:left w:val="nil"/>
          <w:bottom w:val="nil"/>
          <w:right w:val="nil"/>
          <w:between w:val="nil"/>
        </w:pBdr>
        <w:spacing w:after="0"/>
        <w:jc w:val="both"/>
        <w:rPr>
          <w:rFonts w:ascii="Verdana" w:eastAsia="Verdana" w:hAnsi="Verdana" w:cs="Verdana"/>
          <w:color w:val="000000"/>
        </w:rPr>
      </w:pPr>
      <w:r w:rsidRPr="00C1433E">
        <w:rPr>
          <w:rFonts w:ascii="Verdana" w:eastAsia="Verdana" w:hAnsi="Verdana" w:cs="Verdana"/>
          <w:color w:val="000000"/>
        </w:rPr>
        <w:t xml:space="preserve">Bogotá, D.C., mayo </w:t>
      </w:r>
      <w:r w:rsidR="0040051E">
        <w:rPr>
          <w:rFonts w:ascii="Verdana" w:eastAsia="Verdana" w:hAnsi="Verdana" w:cs="Verdana"/>
          <w:color w:val="000000"/>
        </w:rPr>
        <w:t>28</w:t>
      </w:r>
      <w:r w:rsidRPr="00C1433E">
        <w:rPr>
          <w:rFonts w:ascii="Verdana" w:eastAsia="Verdana" w:hAnsi="Verdana" w:cs="Verdana"/>
          <w:color w:val="000000"/>
        </w:rPr>
        <w:t xml:space="preserve"> de 2026</w:t>
      </w:r>
    </w:p>
    <w:p w14:paraId="6A5C80B0" w14:textId="77777777" w:rsidR="00C1433E" w:rsidRPr="003079E5" w:rsidRDefault="00C1433E" w:rsidP="00C1433E">
      <w:pPr>
        <w:pBdr>
          <w:top w:val="nil"/>
          <w:left w:val="nil"/>
          <w:bottom w:val="nil"/>
          <w:right w:val="nil"/>
          <w:between w:val="nil"/>
        </w:pBdr>
        <w:spacing w:after="0"/>
        <w:jc w:val="both"/>
        <w:rPr>
          <w:rFonts w:ascii="Verdana" w:eastAsia="Verdana" w:hAnsi="Verdana" w:cs="Verdana"/>
          <w:color w:val="000000"/>
          <w:sz w:val="20"/>
          <w:szCs w:val="20"/>
        </w:rPr>
      </w:pPr>
    </w:p>
    <w:p w14:paraId="79C1C1B7" w14:textId="77777777" w:rsidR="00C1433E" w:rsidRPr="003079E5" w:rsidRDefault="00C1433E" w:rsidP="00C1433E">
      <w:pPr>
        <w:pBdr>
          <w:top w:val="nil"/>
          <w:left w:val="nil"/>
          <w:bottom w:val="nil"/>
          <w:right w:val="nil"/>
          <w:between w:val="nil"/>
        </w:pBdr>
        <w:spacing w:after="0"/>
        <w:jc w:val="both"/>
        <w:rPr>
          <w:rFonts w:ascii="Verdana" w:eastAsia="Verdana" w:hAnsi="Verdana" w:cs="Verdana"/>
          <w:color w:val="000000"/>
          <w:sz w:val="20"/>
          <w:szCs w:val="20"/>
        </w:rPr>
      </w:pPr>
    </w:p>
    <w:p w14:paraId="66A9FDDF" w14:textId="6CCEEE9F" w:rsidR="00D377BF" w:rsidRPr="00D377BF" w:rsidRDefault="00D377BF" w:rsidP="00D377BF">
      <w:pPr>
        <w:spacing w:after="0" w:line="240" w:lineRule="atLeast"/>
        <w:rPr>
          <w:rFonts w:ascii="Verdana" w:hAnsi="Verdana"/>
        </w:rPr>
      </w:pPr>
      <w:r w:rsidRPr="00D377BF">
        <w:rPr>
          <w:rFonts w:ascii="Verdana" w:hAnsi="Verdana"/>
        </w:rPr>
        <w:t>Doctor</w:t>
      </w:r>
    </w:p>
    <w:p w14:paraId="227D3558" w14:textId="77777777" w:rsidR="00D377BF" w:rsidRPr="00D377BF" w:rsidRDefault="00D377BF" w:rsidP="00D377BF">
      <w:pPr>
        <w:spacing w:after="0" w:line="240" w:lineRule="atLeast"/>
        <w:rPr>
          <w:rFonts w:ascii="Verdana" w:hAnsi="Verdana"/>
          <w:b/>
          <w:bCs/>
        </w:rPr>
      </w:pPr>
      <w:r w:rsidRPr="00D377BF">
        <w:rPr>
          <w:rFonts w:ascii="Verdana" w:hAnsi="Verdana"/>
          <w:b/>
          <w:bCs/>
        </w:rPr>
        <w:t>Gregorio Eljach Pacheco</w:t>
      </w:r>
    </w:p>
    <w:p w14:paraId="387448EF" w14:textId="77777777" w:rsidR="00D377BF" w:rsidRPr="00D377BF" w:rsidRDefault="00D377BF" w:rsidP="00D377BF">
      <w:pPr>
        <w:spacing w:after="0" w:line="240" w:lineRule="atLeast"/>
        <w:rPr>
          <w:rFonts w:ascii="Verdana" w:hAnsi="Verdana"/>
        </w:rPr>
      </w:pPr>
      <w:r w:rsidRPr="00D377BF">
        <w:rPr>
          <w:rFonts w:ascii="Verdana" w:hAnsi="Verdana"/>
        </w:rPr>
        <w:t>Procurador General de la Nación</w:t>
      </w:r>
    </w:p>
    <w:p w14:paraId="601EDC1A" w14:textId="77777777" w:rsidR="00D377BF" w:rsidRPr="00D377BF" w:rsidRDefault="00D377BF" w:rsidP="00D377BF">
      <w:pPr>
        <w:spacing w:after="0" w:line="240" w:lineRule="atLeast"/>
        <w:rPr>
          <w:rFonts w:ascii="Verdana" w:hAnsi="Verdana"/>
        </w:rPr>
      </w:pPr>
      <w:r w:rsidRPr="00D377BF">
        <w:rPr>
          <w:rFonts w:ascii="Verdana" w:hAnsi="Verdana"/>
        </w:rPr>
        <w:t xml:space="preserve">Carrera 5 No. 15 – 80 </w:t>
      </w:r>
    </w:p>
    <w:p w14:paraId="1AEEC523" w14:textId="77777777" w:rsidR="00D377BF" w:rsidRPr="00D377BF" w:rsidRDefault="00D377BF" w:rsidP="00D377BF">
      <w:pPr>
        <w:spacing w:after="0" w:line="240" w:lineRule="atLeast"/>
        <w:rPr>
          <w:rFonts w:ascii="Verdana" w:hAnsi="Verdana"/>
        </w:rPr>
      </w:pPr>
      <w:hyperlink r:id="rId8" w:history="1">
        <w:r w:rsidRPr="00D377BF">
          <w:rPr>
            <w:rStyle w:val="Hipervnculo"/>
            <w:rFonts w:ascii="Verdana" w:hAnsi="Verdana"/>
          </w:rPr>
          <w:t>Procesosjudiciales@procuraduria.gov.co</w:t>
        </w:r>
      </w:hyperlink>
    </w:p>
    <w:p w14:paraId="550D9493" w14:textId="77777777" w:rsidR="00D377BF" w:rsidRPr="00D377BF" w:rsidRDefault="00D377BF" w:rsidP="00D377BF">
      <w:pPr>
        <w:spacing w:after="0" w:line="240" w:lineRule="atLeast"/>
        <w:rPr>
          <w:rFonts w:ascii="Verdana" w:hAnsi="Verdana"/>
        </w:rPr>
      </w:pPr>
      <w:r w:rsidRPr="00D377BF">
        <w:rPr>
          <w:rFonts w:ascii="Verdana" w:hAnsi="Verdana"/>
        </w:rPr>
        <w:t>Ciudad</w:t>
      </w:r>
    </w:p>
    <w:p w14:paraId="0509A279" w14:textId="77777777" w:rsidR="00D377BF" w:rsidRPr="00D377BF" w:rsidRDefault="00D377BF" w:rsidP="00D377BF">
      <w:pPr>
        <w:spacing w:after="0" w:line="240" w:lineRule="atLeast"/>
        <w:rPr>
          <w:rFonts w:ascii="Verdana" w:hAnsi="Verdana"/>
        </w:rPr>
      </w:pPr>
    </w:p>
    <w:p w14:paraId="5DAAB1FB" w14:textId="77777777" w:rsidR="00D377BF" w:rsidRPr="00D377BF" w:rsidRDefault="00D377BF" w:rsidP="00D377BF">
      <w:pPr>
        <w:spacing w:after="0" w:line="240" w:lineRule="atLeast"/>
        <w:rPr>
          <w:rFonts w:ascii="Verdana" w:hAnsi="Verdana"/>
        </w:rPr>
      </w:pPr>
    </w:p>
    <w:p w14:paraId="787AC299" w14:textId="19D4C1F8" w:rsidR="00D377BF" w:rsidRDefault="00D377BF" w:rsidP="00C1433E">
      <w:pPr>
        <w:spacing w:after="0" w:line="240" w:lineRule="atLeast"/>
        <w:ind w:left="1980" w:hanging="1080"/>
        <w:jc w:val="both"/>
        <w:rPr>
          <w:rFonts w:ascii="Verdana" w:hAnsi="Verdana"/>
        </w:rPr>
      </w:pPr>
      <w:r w:rsidRPr="00D377BF">
        <w:rPr>
          <w:rFonts w:ascii="Verdana" w:hAnsi="Verdana"/>
          <w:b/>
          <w:bCs/>
        </w:rPr>
        <w:t>Asunto:</w:t>
      </w:r>
      <w:r w:rsidR="00C1433E">
        <w:rPr>
          <w:rFonts w:ascii="Verdana" w:hAnsi="Verdana"/>
          <w:b/>
          <w:bCs/>
        </w:rPr>
        <w:t xml:space="preserve"> </w:t>
      </w:r>
      <w:r w:rsidR="00C1433E">
        <w:rPr>
          <w:rFonts w:ascii="Verdana" w:hAnsi="Verdana"/>
          <w:b/>
          <w:bCs/>
        </w:rPr>
        <w:tab/>
      </w:r>
      <w:r w:rsidRPr="00D377BF">
        <w:rPr>
          <w:rFonts w:ascii="Verdana" w:hAnsi="Verdana"/>
        </w:rPr>
        <w:t xml:space="preserve">Solicitud de reconsideración de </w:t>
      </w:r>
      <w:r w:rsidR="00C1433E">
        <w:rPr>
          <w:rFonts w:ascii="Verdana" w:hAnsi="Verdana"/>
        </w:rPr>
        <w:t xml:space="preserve">competencia de la Procuraduría Geneal de la Nación en virtud del </w:t>
      </w:r>
      <w:r w:rsidRPr="00D377BF">
        <w:rPr>
          <w:rFonts w:ascii="Verdana" w:hAnsi="Verdana"/>
        </w:rPr>
        <w:t xml:space="preserve">poder </w:t>
      </w:r>
      <w:r w:rsidR="00C1433E">
        <w:rPr>
          <w:rFonts w:ascii="Verdana" w:hAnsi="Verdana"/>
        </w:rPr>
        <w:t>disciplinario dentro de los casos puestos en conocimiento del Comité de Convivencia Laboral del Ministerio de Ambiente y Desarrollo Sostenible.</w:t>
      </w:r>
    </w:p>
    <w:p w14:paraId="41310FB0" w14:textId="77777777" w:rsidR="00C1433E" w:rsidRPr="00D377BF" w:rsidRDefault="00C1433E" w:rsidP="00C1433E">
      <w:pPr>
        <w:spacing w:after="0" w:line="240" w:lineRule="atLeast"/>
        <w:ind w:left="1980" w:hanging="1080"/>
        <w:jc w:val="both"/>
        <w:rPr>
          <w:rFonts w:ascii="Verdana" w:hAnsi="Verdana"/>
        </w:rPr>
      </w:pPr>
    </w:p>
    <w:p w14:paraId="18884E50" w14:textId="77777777" w:rsidR="00D377BF" w:rsidRPr="00D377BF" w:rsidRDefault="00D377BF" w:rsidP="00D377BF">
      <w:pPr>
        <w:spacing w:after="0" w:line="240" w:lineRule="atLeast"/>
        <w:rPr>
          <w:rFonts w:ascii="Verdana" w:hAnsi="Verdana"/>
        </w:rPr>
      </w:pPr>
    </w:p>
    <w:p w14:paraId="403107BD" w14:textId="0F62AFAC" w:rsidR="00D377BF" w:rsidRPr="00D377BF" w:rsidRDefault="00D377BF" w:rsidP="00D377BF">
      <w:pPr>
        <w:spacing w:after="0" w:line="240" w:lineRule="atLeast"/>
        <w:rPr>
          <w:rFonts w:ascii="Verdana" w:hAnsi="Verdana"/>
        </w:rPr>
      </w:pPr>
      <w:r w:rsidRPr="00D377BF">
        <w:rPr>
          <w:rFonts w:ascii="Verdana" w:hAnsi="Verdana"/>
        </w:rPr>
        <w:t>Respetado Doctor</w:t>
      </w:r>
      <w:r w:rsidR="00C1433E">
        <w:rPr>
          <w:rFonts w:ascii="Verdana" w:hAnsi="Verdana"/>
        </w:rPr>
        <w:t xml:space="preserve"> </w:t>
      </w:r>
      <w:proofErr w:type="spellStart"/>
      <w:r w:rsidR="00C1433E">
        <w:rPr>
          <w:rFonts w:ascii="Verdana" w:hAnsi="Verdana"/>
        </w:rPr>
        <w:t>Eljach</w:t>
      </w:r>
      <w:proofErr w:type="spellEnd"/>
      <w:r w:rsidR="00C1433E">
        <w:rPr>
          <w:rFonts w:ascii="Verdana" w:hAnsi="Verdana"/>
        </w:rPr>
        <w:t>:</w:t>
      </w:r>
    </w:p>
    <w:p w14:paraId="3402ABBD" w14:textId="77777777" w:rsidR="00D377BF" w:rsidRPr="00D377BF" w:rsidRDefault="00D377BF" w:rsidP="00D377BF">
      <w:pPr>
        <w:spacing w:after="0" w:line="240" w:lineRule="atLeast"/>
        <w:rPr>
          <w:rFonts w:ascii="Verdana" w:hAnsi="Verdana"/>
        </w:rPr>
      </w:pPr>
    </w:p>
    <w:p w14:paraId="326C35CF" w14:textId="55120B93" w:rsidR="001F2B6E" w:rsidRDefault="00D377BF" w:rsidP="00D377BF">
      <w:pPr>
        <w:spacing w:after="0" w:line="240" w:lineRule="atLeast"/>
        <w:jc w:val="both"/>
        <w:rPr>
          <w:rFonts w:ascii="Verdana" w:hAnsi="Verdana"/>
        </w:rPr>
      </w:pPr>
      <w:r w:rsidRPr="00D377BF">
        <w:rPr>
          <w:rFonts w:ascii="Verdana" w:hAnsi="Verdana"/>
        </w:rPr>
        <w:t>El Ministerio de Ambiente y Desarrollo Sostenible de la República de Colombia</w:t>
      </w:r>
      <w:r w:rsidR="00C1433E">
        <w:rPr>
          <w:rFonts w:ascii="Verdana" w:hAnsi="Verdana"/>
        </w:rPr>
        <w:t>,</w:t>
      </w:r>
      <w:r w:rsidR="001F2B6E">
        <w:rPr>
          <w:rFonts w:ascii="Verdana" w:hAnsi="Verdana"/>
        </w:rPr>
        <w:t xml:space="preserve"> en atención a las competencias reglamentarias que le asisten para conocer los casos reportados al Comité de Convivencia Laboral de la Entidad, ha remitido varias comunicaciones al Ministerio Público, para que, conforme a la competencia que le asiste, se procesa a pronunciar respecto de eventos, en los cuales se encuentra implicadas personas naturales en calidad de Contratistas de prestación de servicios de esta Entidad.</w:t>
      </w:r>
    </w:p>
    <w:p w14:paraId="017F9933" w14:textId="77777777" w:rsidR="001F2B6E" w:rsidRDefault="001F2B6E" w:rsidP="00D377BF">
      <w:pPr>
        <w:spacing w:after="0" w:line="240" w:lineRule="atLeast"/>
        <w:jc w:val="both"/>
        <w:rPr>
          <w:rFonts w:ascii="Verdana" w:hAnsi="Verdana"/>
        </w:rPr>
      </w:pPr>
    </w:p>
    <w:p w14:paraId="159BB2B7" w14:textId="77CA194F" w:rsidR="001F2B6E" w:rsidRDefault="001F2B6E" w:rsidP="00D377BF">
      <w:pPr>
        <w:spacing w:after="0" w:line="240" w:lineRule="atLeast"/>
        <w:jc w:val="both"/>
        <w:rPr>
          <w:rFonts w:ascii="Verdana" w:hAnsi="Verdana" w:cs="Arial"/>
        </w:rPr>
      </w:pPr>
      <w:r>
        <w:rPr>
          <w:rFonts w:ascii="Verdana" w:hAnsi="Verdana"/>
        </w:rPr>
        <w:t xml:space="preserve">Es por ello que, </w:t>
      </w:r>
      <w:r w:rsidR="00D377BF" w:rsidRPr="00D377BF">
        <w:rPr>
          <w:rFonts w:ascii="Verdana" w:hAnsi="Verdana"/>
        </w:rPr>
        <w:t xml:space="preserve">conforme a las labores encomendadas en los actos administrativos </w:t>
      </w:r>
      <w:r>
        <w:rPr>
          <w:rFonts w:ascii="Verdana" w:hAnsi="Verdana"/>
        </w:rPr>
        <w:t>,</w:t>
      </w:r>
      <w:r w:rsidR="00D377BF" w:rsidRPr="00D377BF">
        <w:rPr>
          <w:rFonts w:ascii="Verdana" w:hAnsi="Verdana" w:cs="Arial"/>
        </w:rPr>
        <w:t xml:space="preserve">Resolución </w:t>
      </w:r>
      <w:proofErr w:type="spellStart"/>
      <w:r w:rsidR="00D377BF" w:rsidRPr="00D377BF">
        <w:rPr>
          <w:rFonts w:ascii="Verdana" w:hAnsi="Verdana" w:cs="Arial"/>
        </w:rPr>
        <w:t>MinAmbiente</w:t>
      </w:r>
      <w:proofErr w:type="spellEnd"/>
      <w:r w:rsidR="00D377BF" w:rsidRPr="00D377BF">
        <w:rPr>
          <w:rFonts w:ascii="Verdana" w:hAnsi="Verdana" w:cs="Arial"/>
        </w:rPr>
        <w:t xml:space="preserve"> 1249 del 8 de septiembre de 2025 (acto que dio inicio formal al ejercicio de sus funciones), modificada por las </w:t>
      </w:r>
      <w:r>
        <w:rPr>
          <w:rFonts w:ascii="Verdana" w:hAnsi="Verdana" w:cs="Arial"/>
        </w:rPr>
        <w:t>R</w:t>
      </w:r>
      <w:r w:rsidR="00D377BF" w:rsidRPr="00D377BF">
        <w:rPr>
          <w:rFonts w:ascii="Verdana" w:hAnsi="Verdana" w:cs="Arial"/>
        </w:rPr>
        <w:t xml:space="preserve">esoluciones 1808 del 16 de diciembre de 2025 y 271 del 25 de marzo de 2026, en armonía con la Resolución 3461 de 2025 del Ministerio del Trabajo – </w:t>
      </w:r>
      <w:proofErr w:type="spellStart"/>
      <w:r w:rsidR="00D377BF" w:rsidRPr="00D377BF">
        <w:rPr>
          <w:rFonts w:ascii="Verdana" w:hAnsi="Verdana" w:cs="Arial"/>
        </w:rPr>
        <w:t>MinTrabajo</w:t>
      </w:r>
      <w:proofErr w:type="spellEnd"/>
      <w:r w:rsidR="00D377BF" w:rsidRPr="00D377BF">
        <w:rPr>
          <w:rFonts w:ascii="Verdana" w:hAnsi="Verdana" w:cs="Arial"/>
        </w:rPr>
        <w:t xml:space="preserve"> y la Resolución </w:t>
      </w:r>
      <w:proofErr w:type="spellStart"/>
      <w:r w:rsidR="00D377BF" w:rsidRPr="00D377BF">
        <w:rPr>
          <w:rFonts w:ascii="Verdana" w:hAnsi="Verdana" w:cs="Arial"/>
        </w:rPr>
        <w:t>MinAmbiente</w:t>
      </w:r>
      <w:proofErr w:type="spellEnd"/>
      <w:r w:rsidR="00D377BF" w:rsidRPr="00D377BF">
        <w:rPr>
          <w:rFonts w:ascii="Verdana" w:hAnsi="Verdana" w:cs="Arial"/>
        </w:rPr>
        <w:t xml:space="preserve"> 225 de 2025, así como actuando en cumplimiento de lo fines de la función pública, consagrados en el artículo 209 de la Constitución Política, respetuosamente solicitamos reconsidera la decisión adoptada por parte de la </w:t>
      </w:r>
      <w:r>
        <w:rPr>
          <w:rFonts w:ascii="Verdana" w:hAnsi="Verdana" w:cs="Arial"/>
        </w:rPr>
        <w:t>Procuraduría, para que, sea ésta la competente para efectuar las acciones disciplinarias de fondo que se lleguen a considerar.</w:t>
      </w:r>
    </w:p>
    <w:p w14:paraId="26C7F981" w14:textId="77777777" w:rsidR="001F2B6E" w:rsidRDefault="001F2B6E" w:rsidP="00D377BF">
      <w:pPr>
        <w:spacing w:after="0" w:line="240" w:lineRule="atLeast"/>
        <w:jc w:val="both"/>
        <w:rPr>
          <w:rFonts w:ascii="Verdana" w:hAnsi="Verdana" w:cs="Arial"/>
        </w:rPr>
      </w:pPr>
    </w:p>
    <w:p w14:paraId="65832F79" w14:textId="336C56F6" w:rsidR="00D377BF" w:rsidRDefault="001F2B6E" w:rsidP="00D377BF">
      <w:pPr>
        <w:spacing w:after="0" w:line="240" w:lineRule="atLeast"/>
        <w:jc w:val="both"/>
        <w:rPr>
          <w:rFonts w:ascii="Verdana" w:hAnsi="Verdana" w:cs="Arial"/>
        </w:rPr>
      </w:pPr>
      <w:r>
        <w:rPr>
          <w:rFonts w:ascii="Verdana" w:hAnsi="Verdana" w:cs="Arial"/>
        </w:rPr>
        <w:t>Lo previo aseverado, con base en el siguiente patrón fáctico:</w:t>
      </w:r>
    </w:p>
    <w:p w14:paraId="2E62CFF4" w14:textId="77777777" w:rsidR="00C1433E" w:rsidRPr="00D377BF" w:rsidRDefault="00C1433E" w:rsidP="00D377BF">
      <w:pPr>
        <w:spacing w:after="0" w:line="240" w:lineRule="atLeast"/>
        <w:jc w:val="both"/>
        <w:rPr>
          <w:rFonts w:ascii="Verdana" w:hAnsi="Verdana" w:cs="Arial"/>
        </w:rPr>
      </w:pPr>
    </w:p>
    <w:p w14:paraId="74C12F89" w14:textId="371700CB" w:rsidR="00D377BF" w:rsidRDefault="00D377BF" w:rsidP="00D377BF">
      <w:pPr>
        <w:pStyle w:val="Prrafodelista"/>
        <w:numPr>
          <w:ilvl w:val="0"/>
          <w:numId w:val="7"/>
        </w:numPr>
        <w:spacing w:after="0" w:line="240" w:lineRule="atLeast"/>
        <w:jc w:val="both"/>
        <w:rPr>
          <w:rFonts w:ascii="Verdana" w:hAnsi="Verdana" w:cs="Arial"/>
        </w:rPr>
      </w:pPr>
      <w:r w:rsidRPr="00D377BF">
        <w:rPr>
          <w:rFonts w:ascii="Verdana" w:hAnsi="Verdana" w:cs="Arial"/>
        </w:rPr>
        <w:t>Conforme a lo dispuesto en la Ley 1010 del 2006, así como en los actos administrativos internos adoptados por parte de</w:t>
      </w:r>
      <w:r w:rsidR="001F2B6E">
        <w:rPr>
          <w:rFonts w:ascii="Verdana" w:hAnsi="Verdana" w:cs="Arial"/>
        </w:rPr>
        <w:t xml:space="preserve"> este</w:t>
      </w:r>
      <w:r w:rsidRPr="00D377BF">
        <w:rPr>
          <w:rFonts w:ascii="Verdana" w:hAnsi="Verdana" w:cs="Arial"/>
        </w:rPr>
        <w:t xml:space="preserve"> </w:t>
      </w:r>
      <w:r w:rsidR="001F2B6E">
        <w:rPr>
          <w:rFonts w:ascii="Verdana" w:hAnsi="Verdana" w:cs="Arial"/>
        </w:rPr>
        <w:t>M</w:t>
      </w:r>
      <w:r w:rsidRPr="00D377BF">
        <w:rPr>
          <w:rFonts w:ascii="Verdana" w:hAnsi="Verdana" w:cs="Arial"/>
        </w:rPr>
        <w:t>inisterio</w:t>
      </w:r>
      <w:r w:rsidR="001F2B6E">
        <w:rPr>
          <w:rFonts w:ascii="Verdana" w:hAnsi="Verdana" w:cs="Arial"/>
        </w:rPr>
        <w:t>, le corresponde</w:t>
      </w:r>
      <w:r w:rsidRPr="00D377BF">
        <w:rPr>
          <w:rFonts w:ascii="Verdana" w:hAnsi="Verdana" w:cs="Arial"/>
        </w:rPr>
        <w:t xml:space="preserve"> conocer de las quejas interpuestas </w:t>
      </w:r>
      <w:r w:rsidR="001F2B6E">
        <w:rPr>
          <w:rFonts w:ascii="Verdana" w:hAnsi="Verdana" w:cs="Arial"/>
        </w:rPr>
        <w:t>con ocasión a presunto</w:t>
      </w:r>
      <w:r w:rsidRPr="00D377BF">
        <w:rPr>
          <w:rFonts w:ascii="Verdana" w:hAnsi="Verdana" w:cs="Arial"/>
        </w:rPr>
        <w:t xml:space="preserve"> </w:t>
      </w:r>
      <w:r w:rsidRPr="00D377BF">
        <w:rPr>
          <w:rFonts w:ascii="Verdana" w:hAnsi="Verdana" w:cs="Arial"/>
        </w:rPr>
        <w:lastRenderedPageBreak/>
        <w:t xml:space="preserve">acoso laboral, en donde, los cuerpos normativos son claros en señalar que solo es procedente en situaciones que involucren a </w:t>
      </w:r>
      <w:r w:rsidR="001F2B6E">
        <w:rPr>
          <w:rFonts w:ascii="Verdana" w:hAnsi="Verdana" w:cs="Arial"/>
        </w:rPr>
        <w:t xml:space="preserve">funcionarios y/o servidores públicos, es decir, que tengan relación laboral formal con esta cartera ministerial, caso contrario, a los Contratista de prestación de servicios. </w:t>
      </w:r>
    </w:p>
    <w:p w14:paraId="06F2BCAE" w14:textId="77777777" w:rsidR="001F2B6E" w:rsidRPr="00D377BF" w:rsidRDefault="001F2B6E" w:rsidP="001F2B6E">
      <w:pPr>
        <w:pStyle w:val="Prrafodelista"/>
        <w:spacing w:after="0" w:line="240" w:lineRule="atLeast"/>
        <w:jc w:val="both"/>
        <w:rPr>
          <w:rFonts w:ascii="Verdana" w:hAnsi="Verdana" w:cs="Arial"/>
        </w:rPr>
      </w:pPr>
    </w:p>
    <w:p w14:paraId="3249A144" w14:textId="397847E5" w:rsidR="00D377BF" w:rsidRDefault="001F2B6E" w:rsidP="00D377BF">
      <w:pPr>
        <w:pStyle w:val="Prrafodelista"/>
        <w:numPr>
          <w:ilvl w:val="0"/>
          <w:numId w:val="7"/>
        </w:numPr>
        <w:spacing w:after="0" w:line="240" w:lineRule="atLeast"/>
        <w:jc w:val="both"/>
        <w:rPr>
          <w:rFonts w:ascii="Verdana" w:hAnsi="Verdana" w:cs="Arial"/>
        </w:rPr>
      </w:pPr>
      <w:r>
        <w:rPr>
          <w:rFonts w:ascii="Verdana" w:hAnsi="Verdana" w:cs="Arial"/>
        </w:rPr>
        <w:t xml:space="preserve">En virtud </w:t>
      </w:r>
      <w:r w:rsidR="00D377BF" w:rsidRPr="00D377BF">
        <w:rPr>
          <w:rFonts w:ascii="Verdana" w:hAnsi="Verdana" w:cs="Arial"/>
        </w:rPr>
        <w:t>de lo anterior, desde el Ministerio de Ambiente</w:t>
      </w:r>
      <w:r>
        <w:rPr>
          <w:rFonts w:ascii="Verdana" w:hAnsi="Verdana" w:cs="Arial"/>
        </w:rPr>
        <w:t>,</w:t>
      </w:r>
      <w:r w:rsidR="00D377BF" w:rsidRPr="00D377BF">
        <w:rPr>
          <w:rFonts w:ascii="Verdana" w:hAnsi="Verdana" w:cs="Arial"/>
        </w:rPr>
        <w:t xml:space="preserve"> mediante oficio</w:t>
      </w:r>
      <w:r>
        <w:rPr>
          <w:rFonts w:ascii="Verdana" w:hAnsi="Verdana" w:cs="Arial"/>
        </w:rPr>
        <w:t>s</w:t>
      </w:r>
      <w:r w:rsidR="00D377BF" w:rsidRPr="00D377BF">
        <w:rPr>
          <w:rFonts w:ascii="Verdana" w:hAnsi="Verdana" w:cs="Arial"/>
        </w:rPr>
        <w:t xml:space="preserve"> </w:t>
      </w:r>
      <w:r>
        <w:rPr>
          <w:rFonts w:ascii="Verdana" w:hAnsi="Verdana" w:cs="Arial"/>
        </w:rPr>
        <w:t xml:space="preserve">relacionados en el cuadro inmediatamente siguiente, se le remitieron </w:t>
      </w:r>
      <w:r w:rsidR="00D377BF" w:rsidRPr="00D377BF">
        <w:rPr>
          <w:rFonts w:ascii="Verdana" w:hAnsi="Verdana" w:cs="Arial"/>
        </w:rPr>
        <w:t>al Ministerio Público</w:t>
      </w:r>
      <w:r>
        <w:rPr>
          <w:rFonts w:ascii="Verdana" w:hAnsi="Verdana" w:cs="Arial"/>
        </w:rPr>
        <w:t xml:space="preserve"> los soportes y casos puestos de presente ante el Comité de Convivencia Laboral de esta Entidad, en los cuales, algunas de las partes eran Contratista de prestación de servicios, </w:t>
      </w:r>
      <w:r w:rsidRPr="00D377BF">
        <w:rPr>
          <w:rFonts w:ascii="Verdana" w:hAnsi="Verdana" w:cs="Arial"/>
        </w:rPr>
        <w:t>para que</w:t>
      </w:r>
      <w:r>
        <w:rPr>
          <w:rFonts w:ascii="Verdana" w:hAnsi="Verdana" w:cs="Arial"/>
        </w:rPr>
        <w:t xml:space="preserve">, se </w:t>
      </w:r>
      <w:r w:rsidRPr="00D377BF">
        <w:rPr>
          <w:rFonts w:ascii="Verdana" w:hAnsi="Verdana" w:cs="Arial"/>
        </w:rPr>
        <w:t>ejerciera</w:t>
      </w:r>
      <w:r>
        <w:rPr>
          <w:rFonts w:ascii="Verdana" w:hAnsi="Verdana" w:cs="Arial"/>
        </w:rPr>
        <w:t>n las labores propias de la Procuraduría en los mismos, de lo</w:t>
      </w:r>
      <w:r w:rsidR="00D377BF" w:rsidRPr="00D377BF">
        <w:rPr>
          <w:rFonts w:ascii="Verdana" w:hAnsi="Verdana" w:cs="Arial"/>
        </w:rPr>
        <w:t>s siguientes casos</w:t>
      </w:r>
      <w:r>
        <w:rPr>
          <w:rFonts w:ascii="Verdana" w:hAnsi="Verdana" w:cs="Arial"/>
        </w:rPr>
        <w:t>:</w:t>
      </w:r>
    </w:p>
    <w:p w14:paraId="1E73C7D8" w14:textId="77777777" w:rsidR="001F2B6E" w:rsidRPr="00D377BF" w:rsidRDefault="001F2B6E" w:rsidP="001F2B6E">
      <w:pPr>
        <w:pStyle w:val="Prrafodelista"/>
        <w:spacing w:after="0" w:line="240" w:lineRule="atLeast"/>
        <w:jc w:val="both"/>
        <w:rPr>
          <w:rFonts w:ascii="Verdana" w:hAnsi="Verdana" w:cs="Arial"/>
        </w:rPr>
      </w:pPr>
    </w:p>
    <w:tbl>
      <w:tblPr>
        <w:tblW w:w="7393" w:type="dxa"/>
        <w:tblInd w:w="1435" w:type="dxa"/>
        <w:tblCellMar>
          <w:left w:w="70" w:type="dxa"/>
          <w:right w:w="70" w:type="dxa"/>
        </w:tblCellMar>
        <w:tblLook w:val="04A0" w:firstRow="1" w:lastRow="0" w:firstColumn="1" w:lastColumn="0" w:noHBand="0" w:noVBand="1"/>
      </w:tblPr>
      <w:tblGrid>
        <w:gridCol w:w="2592"/>
        <w:gridCol w:w="2597"/>
        <w:gridCol w:w="2038"/>
        <w:gridCol w:w="166"/>
      </w:tblGrid>
      <w:tr w:rsidR="001F2B6E" w:rsidRPr="001F2B6E" w14:paraId="3D3B8563" w14:textId="5B19CB9C" w:rsidTr="001F2B6E">
        <w:trPr>
          <w:gridAfter w:val="1"/>
          <w:wAfter w:w="166" w:type="dxa"/>
          <w:trHeight w:val="499"/>
        </w:trPr>
        <w:tc>
          <w:tcPr>
            <w:tcW w:w="2592" w:type="dxa"/>
            <w:vMerge w:val="restart"/>
            <w:tcBorders>
              <w:top w:val="single" w:sz="8" w:space="0" w:color="auto"/>
              <w:left w:val="single" w:sz="4" w:space="0" w:color="auto"/>
              <w:bottom w:val="single" w:sz="8" w:space="0" w:color="000000"/>
              <w:right w:val="single" w:sz="4" w:space="0" w:color="auto"/>
            </w:tcBorders>
            <w:shd w:val="clear" w:color="auto" w:fill="D9F2D0" w:themeFill="accent6" w:themeFillTint="33"/>
            <w:vAlign w:val="center"/>
            <w:hideMark/>
          </w:tcPr>
          <w:p w14:paraId="42421D33" w14:textId="77777777" w:rsidR="001F2B6E" w:rsidRDefault="001F2B6E" w:rsidP="00D377BF">
            <w:pPr>
              <w:spacing w:after="0" w:line="240" w:lineRule="atLeast"/>
              <w:jc w:val="center"/>
              <w:rPr>
                <w:rFonts w:ascii="Verdana" w:hAnsi="Verdana"/>
                <w:b/>
                <w:bCs/>
                <w:color w:val="000000"/>
                <w:sz w:val="20"/>
                <w:szCs w:val="20"/>
              </w:rPr>
            </w:pPr>
            <w:r w:rsidRPr="001F2B6E">
              <w:rPr>
                <w:rFonts w:ascii="Verdana" w:hAnsi="Verdana"/>
                <w:b/>
                <w:bCs/>
                <w:color w:val="000000"/>
                <w:sz w:val="20"/>
                <w:szCs w:val="20"/>
              </w:rPr>
              <w:t xml:space="preserve">Accionante </w:t>
            </w:r>
          </w:p>
          <w:p w14:paraId="4DBC8957" w14:textId="0BC93D52" w:rsidR="001F2B6E" w:rsidRPr="001F2B6E" w:rsidRDefault="001F2B6E" w:rsidP="00D377BF">
            <w:pPr>
              <w:spacing w:after="0" w:line="240" w:lineRule="atLeast"/>
              <w:jc w:val="center"/>
              <w:rPr>
                <w:rFonts w:ascii="Verdana" w:hAnsi="Verdana"/>
                <w:b/>
                <w:bCs/>
                <w:color w:val="000000"/>
                <w:sz w:val="20"/>
                <w:szCs w:val="20"/>
              </w:rPr>
            </w:pPr>
            <w:r w:rsidRPr="001F2B6E">
              <w:rPr>
                <w:rFonts w:ascii="Verdana" w:hAnsi="Verdana"/>
                <w:b/>
                <w:bCs/>
                <w:color w:val="000000"/>
                <w:sz w:val="20"/>
                <w:szCs w:val="20"/>
              </w:rPr>
              <w:t>(Persona que formula la queja)</w:t>
            </w:r>
          </w:p>
        </w:tc>
        <w:tc>
          <w:tcPr>
            <w:tcW w:w="2597" w:type="dxa"/>
            <w:vMerge w:val="restart"/>
            <w:tcBorders>
              <w:top w:val="single" w:sz="8" w:space="0" w:color="auto"/>
              <w:left w:val="single" w:sz="4" w:space="0" w:color="auto"/>
              <w:bottom w:val="single" w:sz="8" w:space="0" w:color="000000"/>
              <w:right w:val="single" w:sz="4" w:space="0" w:color="auto"/>
            </w:tcBorders>
            <w:shd w:val="clear" w:color="auto" w:fill="D9F2D0" w:themeFill="accent6" w:themeFillTint="33"/>
            <w:vAlign w:val="center"/>
            <w:hideMark/>
          </w:tcPr>
          <w:p w14:paraId="7378BF7E" w14:textId="77777777" w:rsidR="001F2B6E" w:rsidRDefault="001F2B6E" w:rsidP="00D377BF">
            <w:pPr>
              <w:spacing w:after="0" w:line="240" w:lineRule="atLeast"/>
              <w:jc w:val="center"/>
              <w:rPr>
                <w:rFonts w:ascii="Verdana" w:hAnsi="Verdana"/>
                <w:b/>
                <w:bCs/>
                <w:color w:val="000000"/>
                <w:sz w:val="20"/>
                <w:szCs w:val="20"/>
              </w:rPr>
            </w:pPr>
            <w:r w:rsidRPr="001F2B6E">
              <w:rPr>
                <w:rFonts w:ascii="Verdana" w:hAnsi="Verdana"/>
                <w:b/>
                <w:bCs/>
                <w:color w:val="000000"/>
                <w:sz w:val="20"/>
                <w:szCs w:val="20"/>
              </w:rPr>
              <w:t xml:space="preserve">Accionados </w:t>
            </w:r>
          </w:p>
          <w:p w14:paraId="54EDAE10" w14:textId="7D670005" w:rsidR="001F2B6E" w:rsidRPr="001F2B6E" w:rsidRDefault="001F2B6E" w:rsidP="00D377BF">
            <w:pPr>
              <w:spacing w:after="0" w:line="240" w:lineRule="atLeast"/>
              <w:jc w:val="center"/>
              <w:rPr>
                <w:rFonts w:ascii="Verdana" w:hAnsi="Verdana"/>
                <w:b/>
                <w:bCs/>
                <w:color w:val="000000"/>
                <w:sz w:val="20"/>
                <w:szCs w:val="20"/>
              </w:rPr>
            </w:pPr>
            <w:r w:rsidRPr="001F2B6E">
              <w:rPr>
                <w:rFonts w:ascii="Verdana" w:hAnsi="Verdana"/>
                <w:b/>
                <w:bCs/>
                <w:color w:val="000000"/>
                <w:sz w:val="20"/>
                <w:szCs w:val="20"/>
              </w:rPr>
              <w:t>(Personas a quienes se acusa de la presunta situación)</w:t>
            </w:r>
          </w:p>
        </w:tc>
        <w:tc>
          <w:tcPr>
            <w:tcW w:w="2038" w:type="dxa"/>
            <w:vMerge w:val="restart"/>
            <w:tcBorders>
              <w:top w:val="single" w:sz="4" w:space="0" w:color="auto"/>
              <w:left w:val="single" w:sz="4" w:space="0" w:color="auto"/>
              <w:right w:val="single" w:sz="4" w:space="0" w:color="auto"/>
            </w:tcBorders>
            <w:shd w:val="clear" w:color="auto" w:fill="D9F2D0" w:themeFill="accent6" w:themeFillTint="33"/>
            <w:vAlign w:val="center"/>
          </w:tcPr>
          <w:p w14:paraId="07A50042" w14:textId="6D5000F5" w:rsidR="001F2B6E" w:rsidRPr="001F2B6E" w:rsidRDefault="001F2B6E" w:rsidP="00D377BF">
            <w:pPr>
              <w:spacing w:after="0" w:line="240" w:lineRule="atLeast"/>
              <w:jc w:val="center"/>
              <w:rPr>
                <w:rFonts w:ascii="Verdana" w:hAnsi="Verdana"/>
                <w:b/>
                <w:bCs/>
                <w:color w:val="000000"/>
                <w:sz w:val="20"/>
                <w:szCs w:val="20"/>
              </w:rPr>
            </w:pPr>
            <w:r>
              <w:rPr>
                <w:rFonts w:ascii="Verdana" w:hAnsi="Verdana"/>
                <w:b/>
                <w:bCs/>
                <w:color w:val="000000"/>
                <w:sz w:val="20"/>
                <w:szCs w:val="20"/>
              </w:rPr>
              <w:t>Radicados y Fecha</w:t>
            </w:r>
          </w:p>
        </w:tc>
      </w:tr>
      <w:tr w:rsidR="001F2B6E" w:rsidRPr="001F2B6E" w14:paraId="2A863887" w14:textId="77777777" w:rsidTr="001F2B6E">
        <w:trPr>
          <w:trHeight w:val="53"/>
        </w:trPr>
        <w:tc>
          <w:tcPr>
            <w:tcW w:w="2592" w:type="dxa"/>
            <w:vMerge/>
            <w:tcBorders>
              <w:top w:val="single" w:sz="8" w:space="0" w:color="auto"/>
              <w:left w:val="single" w:sz="4" w:space="0" w:color="auto"/>
              <w:bottom w:val="single" w:sz="8" w:space="0" w:color="000000"/>
              <w:right w:val="single" w:sz="4" w:space="0" w:color="auto"/>
            </w:tcBorders>
            <w:vAlign w:val="center"/>
            <w:hideMark/>
          </w:tcPr>
          <w:p w14:paraId="2F78FE2F" w14:textId="77777777" w:rsidR="001F2B6E" w:rsidRPr="001F2B6E" w:rsidRDefault="001F2B6E" w:rsidP="00D377BF">
            <w:pPr>
              <w:spacing w:after="0" w:line="240" w:lineRule="atLeast"/>
              <w:rPr>
                <w:rFonts w:ascii="Verdana" w:hAnsi="Verdana"/>
                <w:color w:val="000000"/>
                <w:sz w:val="20"/>
                <w:szCs w:val="20"/>
              </w:rPr>
            </w:pPr>
          </w:p>
        </w:tc>
        <w:tc>
          <w:tcPr>
            <w:tcW w:w="2597" w:type="dxa"/>
            <w:vMerge/>
            <w:tcBorders>
              <w:top w:val="single" w:sz="8" w:space="0" w:color="auto"/>
              <w:left w:val="single" w:sz="4" w:space="0" w:color="auto"/>
              <w:bottom w:val="single" w:sz="8" w:space="0" w:color="000000"/>
              <w:right w:val="single" w:sz="4" w:space="0" w:color="auto"/>
            </w:tcBorders>
            <w:vAlign w:val="center"/>
            <w:hideMark/>
          </w:tcPr>
          <w:p w14:paraId="4FBC1509" w14:textId="77777777" w:rsidR="001F2B6E" w:rsidRPr="001F2B6E" w:rsidRDefault="001F2B6E" w:rsidP="00D377BF">
            <w:pPr>
              <w:spacing w:after="0" w:line="240" w:lineRule="atLeast"/>
              <w:rPr>
                <w:rFonts w:ascii="Verdana" w:hAnsi="Verdana"/>
                <w:b/>
                <w:bCs/>
                <w:color w:val="000000"/>
                <w:sz w:val="20"/>
                <w:szCs w:val="20"/>
              </w:rPr>
            </w:pPr>
          </w:p>
        </w:tc>
        <w:tc>
          <w:tcPr>
            <w:tcW w:w="2038" w:type="dxa"/>
            <w:vMerge/>
            <w:tcBorders>
              <w:left w:val="single" w:sz="4" w:space="0" w:color="auto"/>
              <w:bottom w:val="single" w:sz="4" w:space="0" w:color="auto"/>
              <w:right w:val="single" w:sz="4" w:space="0" w:color="auto"/>
            </w:tcBorders>
            <w:vAlign w:val="center"/>
          </w:tcPr>
          <w:p w14:paraId="1F1065E4" w14:textId="77777777" w:rsidR="001F2B6E" w:rsidRPr="001F2B6E" w:rsidRDefault="001F2B6E" w:rsidP="00D377BF">
            <w:pPr>
              <w:spacing w:after="0" w:line="240" w:lineRule="atLeast"/>
              <w:jc w:val="center"/>
              <w:rPr>
                <w:rFonts w:ascii="Verdana" w:hAnsi="Verdana"/>
                <w:b/>
                <w:bCs/>
                <w:color w:val="000000"/>
                <w:sz w:val="20"/>
                <w:szCs w:val="20"/>
              </w:rPr>
            </w:pPr>
          </w:p>
        </w:tc>
        <w:tc>
          <w:tcPr>
            <w:tcW w:w="166" w:type="dxa"/>
            <w:tcBorders>
              <w:top w:val="nil"/>
              <w:left w:val="single" w:sz="4" w:space="0" w:color="auto"/>
              <w:bottom w:val="nil"/>
              <w:right w:val="nil"/>
            </w:tcBorders>
            <w:noWrap/>
            <w:vAlign w:val="center"/>
            <w:hideMark/>
          </w:tcPr>
          <w:p w14:paraId="7D7FCA70" w14:textId="60079C9F" w:rsidR="001F2B6E" w:rsidRPr="001F2B6E" w:rsidRDefault="001F2B6E" w:rsidP="00D377BF">
            <w:pPr>
              <w:spacing w:after="0" w:line="240" w:lineRule="atLeast"/>
              <w:jc w:val="center"/>
              <w:rPr>
                <w:rFonts w:ascii="Verdana" w:hAnsi="Verdana"/>
                <w:b/>
                <w:bCs/>
                <w:color w:val="000000"/>
                <w:sz w:val="20"/>
                <w:szCs w:val="20"/>
              </w:rPr>
            </w:pPr>
          </w:p>
        </w:tc>
      </w:tr>
      <w:tr w:rsidR="001F2B6E" w:rsidRPr="001F2B6E" w14:paraId="3B447C33" w14:textId="77777777" w:rsidTr="001F2B6E">
        <w:trPr>
          <w:trHeight w:val="315"/>
        </w:trPr>
        <w:tc>
          <w:tcPr>
            <w:tcW w:w="2592" w:type="dxa"/>
            <w:tcBorders>
              <w:top w:val="nil"/>
              <w:left w:val="single" w:sz="4" w:space="0" w:color="auto"/>
              <w:bottom w:val="single" w:sz="4" w:space="0" w:color="auto"/>
              <w:right w:val="single" w:sz="4" w:space="0" w:color="auto"/>
            </w:tcBorders>
            <w:vAlign w:val="center"/>
            <w:hideMark/>
          </w:tcPr>
          <w:p w14:paraId="7A336709"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 xml:space="preserve">Vannesa Esther Castillo Mosquera </w:t>
            </w:r>
            <w:r w:rsidRPr="001F2B6E">
              <w:rPr>
                <w:rFonts w:ascii="Verdana" w:hAnsi="Verdana"/>
                <w:b/>
                <w:bCs/>
                <w:color w:val="000000"/>
                <w:sz w:val="20"/>
                <w:szCs w:val="20"/>
              </w:rPr>
              <w:t>(contratista)</w:t>
            </w:r>
          </w:p>
        </w:tc>
        <w:tc>
          <w:tcPr>
            <w:tcW w:w="2597" w:type="dxa"/>
            <w:tcBorders>
              <w:top w:val="nil"/>
              <w:left w:val="nil"/>
              <w:bottom w:val="single" w:sz="4" w:space="0" w:color="auto"/>
              <w:right w:val="single" w:sz="4" w:space="0" w:color="auto"/>
            </w:tcBorders>
            <w:vAlign w:val="center"/>
            <w:hideMark/>
          </w:tcPr>
          <w:p w14:paraId="2104B5DD"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Ángela María Parra Rivera</w:t>
            </w:r>
          </w:p>
        </w:tc>
        <w:tc>
          <w:tcPr>
            <w:tcW w:w="2038" w:type="dxa"/>
            <w:tcBorders>
              <w:top w:val="single" w:sz="4" w:space="0" w:color="auto"/>
              <w:bottom w:val="single" w:sz="4" w:space="0" w:color="auto"/>
              <w:right w:val="single" w:sz="4" w:space="0" w:color="auto"/>
            </w:tcBorders>
            <w:vAlign w:val="center"/>
          </w:tcPr>
          <w:p w14:paraId="4CD36EDB" w14:textId="4074B118" w:rsidR="001F2B6E" w:rsidRPr="001F2B6E" w:rsidRDefault="001F2B6E" w:rsidP="001F2B6E">
            <w:pPr>
              <w:spacing w:after="0" w:line="240" w:lineRule="atLeast"/>
              <w:jc w:val="center"/>
              <w:rPr>
                <w:rFonts w:ascii="Verdana" w:hAnsi="Verdana"/>
                <w:sz w:val="20"/>
                <w:szCs w:val="20"/>
              </w:rPr>
            </w:pPr>
            <w:r w:rsidRPr="00D377BF">
              <w:rPr>
                <w:rFonts w:ascii="Verdana" w:hAnsi="Verdana" w:cs="Arial"/>
                <w:highlight w:val="yellow"/>
              </w:rPr>
              <w:t>XXXXXXX</w:t>
            </w:r>
          </w:p>
        </w:tc>
        <w:tc>
          <w:tcPr>
            <w:tcW w:w="166" w:type="dxa"/>
            <w:tcBorders>
              <w:left w:val="single" w:sz="4" w:space="0" w:color="auto"/>
            </w:tcBorders>
            <w:vAlign w:val="center"/>
            <w:hideMark/>
          </w:tcPr>
          <w:p w14:paraId="4CC1A0D9" w14:textId="5321A568" w:rsidR="001F2B6E" w:rsidRPr="001F2B6E" w:rsidRDefault="001F2B6E" w:rsidP="00D377BF">
            <w:pPr>
              <w:spacing w:after="0" w:line="240" w:lineRule="atLeast"/>
              <w:rPr>
                <w:rFonts w:ascii="Verdana" w:hAnsi="Verdana"/>
                <w:sz w:val="20"/>
                <w:szCs w:val="20"/>
              </w:rPr>
            </w:pPr>
          </w:p>
        </w:tc>
      </w:tr>
      <w:tr w:rsidR="001F2B6E" w:rsidRPr="001F2B6E" w14:paraId="02FB29F2" w14:textId="77777777" w:rsidTr="001F2B6E">
        <w:trPr>
          <w:trHeight w:val="390"/>
        </w:trPr>
        <w:tc>
          <w:tcPr>
            <w:tcW w:w="2592" w:type="dxa"/>
            <w:tcBorders>
              <w:top w:val="nil"/>
              <w:left w:val="single" w:sz="4" w:space="0" w:color="auto"/>
              <w:bottom w:val="single" w:sz="4" w:space="0" w:color="auto"/>
              <w:right w:val="single" w:sz="4" w:space="0" w:color="auto"/>
            </w:tcBorders>
            <w:vAlign w:val="center"/>
            <w:hideMark/>
          </w:tcPr>
          <w:p w14:paraId="4D5D826C"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 xml:space="preserve">Mónica Rocío Pinzón Vanegas </w:t>
            </w:r>
            <w:r w:rsidRPr="001F2B6E">
              <w:rPr>
                <w:rFonts w:ascii="Verdana" w:hAnsi="Verdana"/>
                <w:b/>
                <w:bCs/>
                <w:color w:val="000000"/>
                <w:sz w:val="20"/>
                <w:szCs w:val="20"/>
              </w:rPr>
              <w:t>(contratista)</w:t>
            </w:r>
          </w:p>
        </w:tc>
        <w:tc>
          <w:tcPr>
            <w:tcW w:w="2597" w:type="dxa"/>
            <w:tcBorders>
              <w:top w:val="nil"/>
              <w:left w:val="nil"/>
              <w:bottom w:val="single" w:sz="4" w:space="0" w:color="auto"/>
              <w:right w:val="single" w:sz="4" w:space="0" w:color="auto"/>
            </w:tcBorders>
            <w:vAlign w:val="center"/>
            <w:hideMark/>
          </w:tcPr>
          <w:p w14:paraId="17615788"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 xml:space="preserve">Nayive Chaparro Sierra </w:t>
            </w:r>
          </w:p>
        </w:tc>
        <w:tc>
          <w:tcPr>
            <w:tcW w:w="2038" w:type="dxa"/>
            <w:tcBorders>
              <w:top w:val="single" w:sz="4" w:space="0" w:color="auto"/>
              <w:bottom w:val="single" w:sz="4" w:space="0" w:color="auto"/>
              <w:right w:val="single" w:sz="4" w:space="0" w:color="auto"/>
            </w:tcBorders>
            <w:vAlign w:val="center"/>
          </w:tcPr>
          <w:p w14:paraId="400463F1" w14:textId="57BACB05" w:rsidR="001F2B6E" w:rsidRPr="001F2B6E" w:rsidRDefault="001F2B6E" w:rsidP="001F2B6E">
            <w:pPr>
              <w:spacing w:after="0" w:line="240" w:lineRule="atLeast"/>
              <w:jc w:val="center"/>
              <w:rPr>
                <w:rFonts w:ascii="Verdana" w:hAnsi="Verdana"/>
                <w:sz w:val="20"/>
                <w:szCs w:val="20"/>
              </w:rPr>
            </w:pPr>
            <w:r w:rsidRPr="00D377BF">
              <w:rPr>
                <w:rFonts w:ascii="Verdana" w:hAnsi="Verdana" w:cs="Arial"/>
                <w:highlight w:val="yellow"/>
              </w:rPr>
              <w:t>XXXXXXX</w:t>
            </w:r>
          </w:p>
        </w:tc>
        <w:tc>
          <w:tcPr>
            <w:tcW w:w="166" w:type="dxa"/>
            <w:tcBorders>
              <w:left w:val="single" w:sz="4" w:space="0" w:color="auto"/>
            </w:tcBorders>
            <w:vAlign w:val="center"/>
            <w:hideMark/>
          </w:tcPr>
          <w:p w14:paraId="0C67BE46" w14:textId="6650ACDC" w:rsidR="001F2B6E" w:rsidRPr="001F2B6E" w:rsidRDefault="001F2B6E" w:rsidP="00D377BF">
            <w:pPr>
              <w:spacing w:after="0" w:line="240" w:lineRule="atLeast"/>
              <w:rPr>
                <w:rFonts w:ascii="Verdana" w:hAnsi="Verdana"/>
                <w:sz w:val="20"/>
                <w:szCs w:val="20"/>
              </w:rPr>
            </w:pPr>
          </w:p>
        </w:tc>
      </w:tr>
      <w:tr w:rsidR="001F2B6E" w:rsidRPr="001F2B6E" w14:paraId="3C4187B2" w14:textId="77777777" w:rsidTr="001F2B6E">
        <w:trPr>
          <w:trHeight w:val="510"/>
        </w:trPr>
        <w:tc>
          <w:tcPr>
            <w:tcW w:w="2592" w:type="dxa"/>
            <w:tcBorders>
              <w:top w:val="nil"/>
              <w:left w:val="single" w:sz="4" w:space="0" w:color="auto"/>
              <w:bottom w:val="single" w:sz="4" w:space="0" w:color="auto"/>
              <w:right w:val="single" w:sz="4" w:space="0" w:color="auto"/>
            </w:tcBorders>
            <w:vAlign w:val="center"/>
            <w:hideMark/>
          </w:tcPr>
          <w:p w14:paraId="7884EA53"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Luis Alberto Guerra Vargas</w:t>
            </w:r>
          </w:p>
        </w:tc>
        <w:tc>
          <w:tcPr>
            <w:tcW w:w="2597" w:type="dxa"/>
            <w:tcBorders>
              <w:top w:val="nil"/>
              <w:left w:val="nil"/>
              <w:bottom w:val="single" w:sz="4" w:space="0" w:color="auto"/>
              <w:right w:val="single" w:sz="4" w:space="0" w:color="auto"/>
            </w:tcBorders>
            <w:vAlign w:val="center"/>
            <w:hideMark/>
          </w:tcPr>
          <w:p w14:paraId="1E1E61F3"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Dana Lorena Delgado Álvarez</w:t>
            </w:r>
          </w:p>
        </w:tc>
        <w:tc>
          <w:tcPr>
            <w:tcW w:w="2038" w:type="dxa"/>
            <w:tcBorders>
              <w:top w:val="single" w:sz="4" w:space="0" w:color="auto"/>
              <w:bottom w:val="single" w:sz="4" w:space="0" w:color="auto"/>
              <w:right w:val="single" w:sz="4" w:space="0" w:color="auto"/>
            </w:tcBorders>
            <w:vAlign w:val="center"/>
          </w:tcPr>
          <w:p w14:paraId="1B86019E" w14:textId="340B6ED6" w:rsidR="001F2B6E" w:rsidRPr="001F2B6E" w:rsidRDefault="001F2B6E" w:rsidP="001F2B6E">
            <w:pPr>
              <w:spacing w:after="0" w:line="240" w:lineRule="atLeast"/>
              <w:jc w:val="center"/>
              <w:rPr>
                <w:rFonts w:ascii="Verdana" w:hAnsi="Verdana"/>
                <w:sz w:val="20"/>
                <w:szCs w:val="20"/>
              </w:rPr>
            </w:pPr>
            <w:r w:rsidRPr="00D377BF">
              <w:rPr>
                <w:rFonts w:ascii="Verdana" w:hAnsi="Verdana" w:cs="Arial"/>
                <w:highlight w:val="yellow"/>
              </w:rPr>
              <w:t>XXXXXXX</w:t>
            </w:r>
          </w:p>
        </w:tc>
        <w:tc>
          <w:tcPr>
            <w:tcW w:w="166" w:type="dxa"/>
            <w:tcBorders>
              <w:left w:val="single" w:sz="4" w:space="0" w:color="auto"/>
            </w:tcBorders>
            <w:vAlign w:val="center"/>
            <w:hideMark/>
          </w:tcPr>
          <w:p w14:paraId="0EA071FC" w14:textId="037ADD3C" w:rsidR="001F2B6E" w:rsidRPr="001F2B6E" w:rsidRDefault="001F2B6E" w:rsidP="00D377BF">
            <w:pPr>
              <w:spacing w:after="0" w:line="240" w:lineRule="atLeast"/>
              <w:rPr>
                <w:rFonts w:ascii="Verdana" w:hAnsi="Verdana"/>
                <w:sz w:val="20"/>
                <w:szCs w:val="20"/>
              </w:rPr>
            </w:pPr>
          </w:p>
        </w:tc>
      </w:tr>
      <w:tr w:rsidR="001F2B6E" w:rsidRPr="001F2B6E" w14:paraId="0678BAAE" w14:textId="77777777" w:rsidTr="001F2B6E">
        <w:trPr>
          <w:trHeight w:val="510"/>
        </w:trPr>
        <w:tc>
          <w:tcPr>
            <w:tcW w:w="2592" w:type="dxa"/>
            <w:tcBorders>
              <w:top w:val="nil"/>
              <w:left w:val="single" w:sz="4" w:space="0" w:color="auto"/>
              <w:bottom w:val="single" w:sz="4" w:space="0" w:color="auto"/>
              <w:right w:val="single" w:sz="4" w:space="0" w:color="auto"/>
            </w:tcBorders>
            <w:vAlign w:val="center"/>
            <w:hideMark/>
          </w:tcPr>
          <w:p w14:paraId="38FF8584"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 xml:space="preserve"> Manuel Castro Ballesteros</w:t>
            </w:r>
            <w:r w:rsidRPr="001F2B6E">
              <w:rPr>
                <w:rFonts w:ascii="Verdana" w:hAnsi="Verdana"/>
                <w:b/>
                <w:bCs/>
                <w:color w:val="000000"/>
                <w:sz w:val="20"/>
                <w:szCs w:val="20"/>
              </w:rPr>
              <w:t xml:space="preserve"> (PGN allegó a COCOLA)</w:t>
            </w:r>
          </w:p>
        </w:tc>
        <w:tc>
          <w:tcPr>
            <w:tcW w:w="2597" w:type="dxa"/>
            <w:tcBorders>
              <w:top w:val="nil"/>
              <w:left w:val="nil"/>
              <w:bottom w:val="single" w:sz="4" w:space="0" w:color="auto"/>
              <w:right w:val="single" w:sz="4" w:space="0" w:color="auto"/>
            </w:tcBorders>
            <w:vAlign w:val="center"/>
            <w:hideMark/>
          </w:tcPr>
          <w:p w14:paraId="3DB1E83A"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 xml:space="preserve">Javier </w:t>
            </w:r>
            <w:proofErr w:type="spellStart"/>
            <w:r w:rsidRPr="001F2B6E">
              <w:rPr>
                <w:rFonts w:ascii="Verdana" w:hAnsi="Verdana"/>
                <w:color w:val="000000"/>
                <w:sz w:val="20"/>
                <w:szCs w:val="20"/>
              </w:rPr>
              <w:t>Gutierrez</w:t>
            </w:r>
            <w:proofErr w:type="spellEnd"/>
            <w:r w:rsidRPr="001F2B6E">
              <w:rPr>
                <w:rFonts w:ascii="Verdana" w:hAnsi="Verdana"/>
                <w:color w:val="000000"/>
                <w:sz w:val="20"/>
                <w:szCs w:val="20"/>
              </w:rPr>
              <w:t xml:space="preserve"> Cortes</w:t>
            </w:r>
          </w:p>
        </w:tc>
        <w:tc>
          <w:tcPr>
            <w:tcW w:w="2038" w:type="dxa"/>
            <w:tcBorders>
              <w:top w:val="single" w:sz="4" w:space="0" w:color="auto"/>
              <w:bottom w:val="single" w:sz="4" w:space="0" w:color="auto"/>
              <w:right w:val="single" w:sz="4" w:space="0" w:color="auto"/>
            </w:tcBorders>
            <w:vAlign w:val="center"/>
          </w:tcPr>
          <w:p w14:paraId="2AFA451F" w14:textId="35A7D06C" w:rsidR="001F2B6E" w:rsidRPr="001F2B6E" w:rsidRDefault="001F2B6E" w:rsidP="001F2B6E">
            <w:pPr>
              <w:spacing w:after="0" w:line="240" w:lineRule="atLeast"/>
              <w:jc w:val="center"/>
              <w:rPr>
                <w:rFonts w:ascii="Verdana" w:hAnsi="Verdana"/>
                <w:sz w:val="20"/>
                <w:szCs w:val="20"/>
              </w:rPr>
            </w:pPr>
            <w:r w:rsidRPr="00D377BF">
              <w:rPr>
                <w:rFonts w:ascii="Verdana" w:hAnsi="Verdana" w:cs="Arial"/>
                <w:highlight w:val="yellow"/>
              </w:rPr>
              <w:t>XXXXXXX</w:t>
            </w:r>
          </w:p>
        </w:tc>
        <w:tc>
          <w:tcPr>
            <w:tcW w:w="166" w:type="dxa"/>
            <w:tcBorders>
              <w:left w:val="single" w:sz="4" w:space="0" w:color="auto"/>
            </w:tcBorders>
            <w:vAlign w:val="center"/>
            <w:hideMark/>
          </w:tcPr>
          <w:p w14:paraId="6D26D9A7" w14:textId="7EF8D46D" w:rsidR="001F2B6E" w:rsidRPr="001F2B6E" w:rsidRDefault="001F2B6E" w:rsidP="00D377BF">
            <w:pPr>
              <w:spacing w:after="0" w:line="240" w:lineRule="atLeast"/>
              <w:rPr>
                <w:rFonts w:ascii="Verdana" w:hAnsi="Verdana"/>
                <w:sz w:val="20"/>
                <w:szCs w:val="20"/>
              </w:rPr>
            </w:pPr>
          </w:p>
        </w:tc>
      </w:tr>
      <w:tr w:rsidR="001F2B6E" w:rsidRPr="001F2B6E" w14:paraId="6481D84A" w14:textId="77777777" w:rsidTr="001F2B6E">
        <w:trPr>
          <w:trHeight w:val="660"/>
        </w:trPr>
        <w:tc>
          <w:tcPr>
            <w:tcW w:w="2592" w:type="dxa"/>
            <w:tcBorders>
              <w:top w:val="nil"/>
              <w:left w:val="single" w:sz="4" w:space="0" w:color="auto"/>
              <w:bottom w:val="single" w:sz="8" w:space="0" w:color="auto"/>
              <w:right w:val="single" w:sz="4" w:space="0" w:color="auto"/>
            </w:tcBorders>
            <w:vAlign w:val="center"/>
            <w:hideMark/>
          </w:tcPr>
          <w:p w14:paraId="609E64F9" w14:textId="77777777" w:rsidR="001F2B6E" w:rsidRPr="001F2B6E" w:rsidRDefault="001F2B6E" w:rsidP="00D377BF">
            <w:pPr>
              <w:spacing w:after="0" w:line="240" w:lineRule="atLeast"/>
              <w:jc w:val="center"/>
              <w:rPr>
                <w:rFonts w:ascii="Verdana" w:hAnsi="Verdana"/>
                <w:color w:val="000000"/>
                <w:sz w:val="20"/>
                <w:szCs w:val="20"/>
              </w:rPr>
            </w:pPr>
            <w:r w:rsidRPr="001F2B6E">
              <w:rPr>
                <w:rFonts w:ascii="Verdana" w:hAnsi="Verdana"/>
                <w:color w:val="000000"/>
                <w:sz w:val="20"/>
                <w:szCs w:val="20"/>
              </w:rPr>
              <w:t>Adriana Ivon Matiz Buitrago</w:t>
            </w:r>
            <w:r w:rsidRPr="001F2B6E">
              <w:rPr>
                <w:rFonts w:ascii="Verdana" w:hAnsi="Verdana"/>
                <w:b/>
                <w:bCs/>
                <w:color w:val="000000"/>
                <w:sz w:val="20"/>
                <w:szCs w:val="20"/>
              </w:rPr>
              <w:t xml:space="preserve"> (contratista)</w:t>
            </w:r>
          </w:p>
        </w:tc>
        <w:tc>
          <w:tcPr>
            <w:tcW w:w="2597" w:type="dxa"/>
            <w:tcBorders>
              <w:top w:val="nil"/>
              <w:left w:val="nil"/>
              <w:bottom w:val="single" w:sz="8" w:space="0" w:color="auto"/>
              <w:right w:val="single" w:sz="4" w:space="0" w:color="auto"/>
            </w:tcBorders>
            <w:vAlign w:val="center"/>
            <w:hideMark/>
          </w:tcPr>
          <w:p w14:paraId="37949467" w14:textId="77777777" w:rsidR="001F2B6E" w:rsidRPr="001F2B6E" w:rsidRDefault="001F2B6E" w:rsidP="00D377BF">
            <w:pPr>
              <w:spacing w:after="0" w:line="240" w:lineRule="atLeast"/>
              <w:jc w:val="center"/>
              <w:rPr>
                <w:rFonts w:ascii="Verdana" w:hAnsi="Verdana"/>
                <w:color w:val="000000"/>
                <w:sz w:val="20"/>
                <w:szCs w:val="20"/>
              </w:rPr>
            </w:pPr>
            <w:proofErr w:type="spellStart"/>
            <w:r w:rsidRPr="001F2B6E">
              <w:rPr>
                <w:rFonts w:ascii="Verdana" w:hAnsi="Verdana"/>
                <w:color w:val="000000"/>
                <w:sz w:val="20"/>
                <w:szCs w:val="20"/>
              </w:rPr>
              <w:t>Maria</w:t>
            </w:r>
            <w:proofErr w:type="spellEnd"/>
            <w:r w:rsidRPr="001F2B6E">
              <w:rPr>
                <w:rFonts w:ascii="Verdana" w:hAnsi="Verdana"/>
                <w:color w:val="000000"/>
                <w:sz w:val="20"/>
                <w:szCs w:val="20"/>
              </w:rPr>
              <w:t xml:space="preserve"> Alexandra Garzón Patiño</w:t>
            </w:r>
            <w:r w:rsidRPr="001F2B6E">
              <w:rPr>
                <w:rFonts w:ascii="Verdana" w:hAnsi="Verdana"/>
                <w:color w:val="000000"/>
                <w:sz w:val="20"/>
                <w:szCs w:val="20"/>
              </w:rPr>
              <w:br/>
            </w:r>
            <w:r w:rsidRPr="001F2B6E">
              <w:rPr>
                <w:rFonts w:ascii="Verdana" w:hAnsi="Verdana"/>
                <w:b/>
                <w:bCs/>
                <w:color w:val="000000"/>
                <w:sz w:val="20"/>
                <w:szCs w:val="20"/>
              </w:rPr>
              <w:t xml:space="preserve"> (contratista)</w:t>
            </w:r>
          </w:p>
        </w:tc>
        <w:tc>
          <w:tcPr>
            <w:tcW w:w="2038" w:type="dxa"/>
            <w:tcBorders>
              <w:top w:val="single" w:sz="4" w:space="0" w:color="auto"/>
              <w:bottom w:val="single" w:sz="4" w:space="0" w:color="auto"/>
              <w:right w:val="single" w:sz="4" w:space="0" w:color="auto"/>
            </w:tcBorders>
            <w:vAlign w:val="center"/>
          </w:tcPr>
          <w:p w14:paraId="05BD1DE2" w14:textId="01F3A06C" w:rsidR="001F2B6E" w:rsidRPr="001F2B6E" w:rsidRDefault="001F2B6E" w:rsidP="001F2B6E">
            <w:pPr>
              <w:spacing w:after="0" w:line="240" w:lineRule="atLeast"/>
              <w:jc w:val="center"/>
              <w:rPr>
                <w:rFonts w:ascii="Verdana" w:hAnsi="Verdana"/>
                <w:sz w:val="20"/>
                <w:szCs w:val="20"/>
              </w:rPr>
            </w:pPr>
            <w:r w:rsidRPr="00D377BF">
              <w:rPr>
                <w:rFonts w:ascii="Verdana" w:hAnsi="Verdana" w:cs="Arial"/>
                <w:highlight w:val="yellow"/>
              </w:rPr>
              <w:t>XXXXXXX</w:t>
            </w:r>
          </w:p>
        </w:tc>
        <w:tc>
          <w:tcPr>
            <w:tcW w:w="166" w:type="dxa"/>
            <w:tcBorders>
              <w:left w:val="single" w:sz="4" w:space="0" w:color="auto"/>
            </w:tcBorders>
            <w:vAlign w:val="center"/>
            <w:hideMark/>
          </w:tcPr>
          <w:p w14:paraId="5A0DF521" w14:textId="5E3A82E9" w:rsidR="001F2B6E" w:rsidRPr="001F2B6E" w:rsidRDefault="001F2B6E" w:rsidP="00D377BF">
            <w:pPr>
              <w:spacing w:after="0" w:line="240" w:lineRule="atLeast"/>
              <w:rPr>
                <w:rFonts w:ascii="Verdana" w:hAnsi="Verdana"/>
                <w:sz w:val="20"/>
                <w:szCs w:val="20"/>
              </w:rPr>
            </w:pPr>
          </w:p>
        </w:tc>
      </w:tr>
    </w:tbl>
    <w:p w14:paraId="64537EE6" w14:textId="77777777" w:rsidR="00D377BF" w:rsidRPr="00D377BF" w:rsidRDefault="00D377BF" w:rsidP="00D377BF">
      <w:pPr>
        <w:pStyle w:val="Prrafodelista"/>
        <w:spacing w:after="0" w:line="240" w:lineRule="atLeast"/>
        <w:jc w:val="both"/>
        <w:rPr>
          <w:rFonts w:ascii="Verdana" w:hAnsi="Verdana" w:cs="Arial"/>
        </w:rPr>
      </w:pPr>
    </w:p>
    <w:p w14:paraId="72382C98" w14:textId="2BD51F3A" w:rsidR="00D377BF" w:rsidRPr="00D377BF" w:rsidRDefault="00D377BF" w:rsidP="00D377BF">
      <w:pPr>
        <w:pStyle w:val="Prrafodelista"/>
        <w:numPr>
          <w:ilvl w:val="0"/>
          <w:numId w:val="7"/>
        </w:numPr>
        <w:spacing w:after="0" w:line="240" w:lineRule="atLeast"/>
        <w:jc w:val="both"/>
        <w:rPr>
          <w:rFonts w:ascii="Verdana" w:hAnsi="Verdana"/>
        </w:rPr>
      </w:pPr>
      <w:r w:rsidRPr="00D377BF">
        <w:rPr>
          <w:rFonts w:ascii="Verdana" w:hAnsi="Verdana"/>
        </w:rPr>
        <w:t xml:space="preserve">Sin embargo, mediante </w:t>
      </w:r>
      <w:r w:rsidR="00162075">
        <w:rPr>
          <w:rFonts w:ascii="Verdana" w:hAnsi="Verdana"/>
        </w:rPr>
        <w:t xml:space="preserve">comunicaciones enviadas por la Procuraduría, ésta dio respuesta al traslado, manifestando su  posición negativa de dar curso alguna a estos casos, entre otros </w:t>
      </w:r>
      <w:r w:rsidRPr="00D377BF">
        <w:rPr>
          <w:rFonts w:ascii="Verdana" w:hAnsi="Verdana"/>
        </w:rPr>
        <w:t>argument</w:t>
      </w:r>
      <w:r w:rsidR="00162075">
        <w:rPr>
          <w:rFonts w:ascii="Verdana" w:hAnsi="Verdana"/>
        </w:rPr>
        <w:t xml:space="preserve">os, por ser </w:t>
      </w:r>
      <w:r w:rsidRPr="00D377BF">
        <w:rPr>
          <w:rFonts w:ascii="Verdana" w:hAnsi="Verdana"/>
        </w:rPr>
        <w:t>competencia se encuentra en cabeza exclusivamente del Ministerio</w:t>
      </w:r>
      <w:r w:rsidR="00162075">
        <w:rPr>
          <w:rFonts w:ascii="Verdana" w:hAnsi="Verdana"/>
        </w:rPr>
        <w:t>, situación que no es jurídicamente cierta, ya que, como se esbozará, esta cartera no tiene competencia disciplinaria en contra de las personas naturales Contratistas de prestación de servicios de la Entidad</w:t>
      </w:r>
      <w:r w:rsidRPr="00D377BF">
        <w:rPr>
          <w:rFonts w:ascii="Verdana" w:hAnsi="Verdana"/>
        </w:rPr>
        <w:t>.</w:t>
      </w:r>
    </w:p>
    <w:p w14:paraId="7013CAC3" w14:textId="77777777" w:rsidR="00D377BF" w:rsidRPr="00D377BF" w:rsidRDefault="00D377BF" w:rsidP="00D377BF">
      <w:pPr>
        <w:spacing w:after="0" w:line="240" w:lineRule="atLeast"/>
        <w:jc w:val="both"/>
        <w:rPr>
          <w:rFonts w:ascii="Verdana" w:hAnsi="Verdana"/>
        </w:rPr>
      </w:pPr>
    </w:p>
    <w:p w14:paraId="42568B4F" w14:textId="11DFBF99" w:rsidR="00D377BF" w:rsidRPr="00D377BF" w:rsidRDefault="00D377BF" w:rsidP="00D377BF">
      <w:pPr>
        <w:spacing w:after="0" w:line="240" w:lineRule="atLeast"/>
        <w:jc w:val="both"/>
        <w:rPr>
          <w:rFonts w:ascii="Verdana" w:hAnsi="Verdana"/>
        </w:rPr>
      </w:pPr>
      <w:r w:rsidRPr="00D377BF">
        <w:rPr>
          <w:rFonts w:ascii="Verdana" w:hAnsi="Verdana"/>
        </w:rPr>
        <w:t xml:space="preserve">Con respecto a lo anteriormente </w:t>
      </w:r>
      <w:r w:rsidR="00162075">
        <w:rPr>
          <w:rFonts w:ascii="Verdana" w:hAnsi="Verdana"/>
        </w:rPr>
        <w:t>detallado</w:t>
      </w:r>
      <w:r w:rsidRPr="00D377BF">
        <w:rPr>
          <w:rFonts w:ascii="Verdana" w:hAnsi="Verdana"/>
        </w:rPr>
        <w:t>, se</w:t>
      </w:r>
      <w:r w:rsidR="00162075">
        <w:rPr>
          <w:rFonts w:ascii="Verdana" w:hAnsi="Verdana"/>
        </w:rPr>
        <w:t xml:space="preserve"> </w:t>
      </w:r>
      <w:r w:rsidRPr="00D377BF">
        <w:rPr>
          <w:rFonts w:ascii="Verdana" w:hAnsi="Verdana"/>
        </w:rPr>
        <w:t>resalta que</w:t>
      </w:r>
      <w:r w:rsidR="00162075">
        <w:rPr>
          <w:rFonts w:ascii="Verdana" w:hAnsi="Verdana"/>
        </w:rPr>
        <w:t>,</w:t>
      </w:r>
      <w:r w:rsidRPr="00D377BF">
        <w:rPr>
          <w:rFonts w:ascii="Verdana" w:hAnsi="Verdana"/>
        </w:rPr>
        <w:t xml:space="preserve"> los casos </w:t>
      </w:r>
      <w:r w:rsidR="00162075">
        <w:rPr>
          <w:rFonts w:ascii="Verdana" w:hAnsi="Verdana"/>
        </w:rPr>
        <w:t xml:space="preserve">que nos ocupan, </w:t>
      </w:r>
      <w:r w:rsidRPr="00D377BF">
        <w:rPr>
          <w:rFonts w:ascii="Verdana" w:hAnsi="Verdana"/>
        </w:rPr>
        <w:t xml:space="preserve">involucran a </w:t>
      </w:r>
      <w:r w:rsidR="00162075">
        <w:rPr>
          <w:rFonts w:ascii="Verdana" w:hAnsi="Verdana"/>
        </w:rPr>
        <w:t>C</w:t>
      </w:r>
      <w:r w:rsidRPr="00D377BF">
        <w:rPr>
          <w:rFonts w:ascii="Verdana" w:hAnsi="Verdana"/>
        </w:rPr>
        <w:t>ontratistas</w:t>
      </w:r>
      <w:r w:rsidR="00162075">
        <w:rPr>
          <w:rFonts w:ascii="Verdana" w:hAnsi="Verdana"/>
        </w:rPr>
        <w:t xml:space="preserve"> por prestación de servicios de este </w:t>
      </w:r>
      <w:r w:rsidRPr="00D377BF">
        <w:rPr>
          <w:rFonts w:ascii="Verdana" w:hAnsi="Verdana"/>
        </w:rPr>
        <w:t>Ministerio,</w:t>
      </w:r>
      <w:r w:rsidR="00162075">
        <w:rPr>
          <w:rFonts w:ascii="Verdana" w:hAnsi="Verdana"/>
        </w:rPr>
        <w:t xml:space="preserve"> y no a funcionarios ni </w:t>
      </w:r>
      <w:r w:rsidRPr="00D377BF">
        <w:rPr>
          <w:rFonts w:ascii="Verdana" w:hAnsi="Verdana"/>
        </w:rPr>
        <w:t xml:space="preserve">servidores públicos vinculados laboralmente a la </w:t>
      </w:r>
      <w:r w:rsidR="00162075">
        <w:rPr>
          <w:rFonts w:ascii="Verdana" w:hAnsi="Verdana"/>
        </w:rPr>
        <w:t>E</w:t>
      </w:r>
      <w:r w:rsidRPr="00D377BF">
        <w:rPr>
          <w:rFonts w:ascii="Verdana" w:hAnsi="Verdana"/>
        </w:rPr>
        <w:t>ntidad, motivo por el cual</w:t>
      </w:r>
      <w:r w:rsidR="00162075">
        <w:rPr>
          <w:rFonts w:ascii="Verdana" w:hAnsi="Verdana"/>
        </w:rPr>
        <w:t xml:space="preserve">, directamente no podríamos iniciar, desde el Comité de Convivencia Laboral ninguna acción administrativa y/o disciplinaria en contra de </w:t>
      </w:r>
      <w:r w:rsidR="00162075">
        <w:rPr>
          <w:rFonts w:ascii="Verdana" w:hAnsi="Verdana"/>
        </w:rPr>
        <w:lastRenderedPageBreak/>
        <w:t xml:space="preserve">estos Contratistas, en el evento que, entre otros, podría alegarse una presunta </w:t>
      </w:r>
      <w:r w:rsidRPr="00D377BF">
        <w:rPr>
          <w:rFonts w:ascii="Verdana" w:hAnsi="Verdana"/>
        </w:rPr>
        <w:t>extralimitación de funciones por parte de</w:t>
      </w:r>
      <w:r w:rsidR="00162075">
        <w:rPr>
          <w:rFonts w:ascii="Verdana" w:hAnsi="Verdana"/>
        </w:rPr>
        <w:t xml:space="preserve"> esta cartera m</w:t>
      </w:r>
      <w:r w:rsidRPr="00D377BF">
        <w:rPr>
          <w:rFonts w:ascii="Verdana" w:hAnsi="Verdana"/>
        </w:rPr>
        <w:t>inisteri</w:t>
      </w:r>
      <w:r w:rsidR="00162075">
        <w:rPr>
          <w:rFonts w:ascii="Verdana" w:hAnsi="Verdana"/>
        </w:rPr>
        <w:t>al</w:t>
      </w:r>
      <w:r w:rsidRPr="00D377BF">
        <w:rPr>
          <w:rFonts w:ascii="Verdana" w:hAnsi="Verdana"/>
        </w:rPr>
        <w:t>.</w:t>
      </w:r>
    </w:p>
    <w:p w14:paraId="0D2B21E8" w14:textId="77777777" w:rsidR="00D377BF" w:rsidRPr="00D377BF" w:rsidRDefault="00D377BF" w:rsidP="00D377BF">
      <w:pPr>
        <w:spacing w:after="0" w:line="240" w:lineRule="atLeast"/>
        <w:jc w:val="both"/>
        <w:rPr>
          <w:rFonts w:ascii="Verdana" w:hAnsi="Verdana"/>
        </w:rPr>
      </w:pPr>
    </w:p>
    <w:p w14:paraId="4AC06A57" w14:textId="2BD6C4B4" w:rsidR="00D377BF" w:rsidRPr="00D377BF" w:rsidRDefault="00D377BF" w:rsidP="00D377BF">
      <w:pPr>
        <w:spacing w:after="0" w:line="240" w:lineRule="atLeast"/>
        <w:jc w:val="both"/>
        <w:rPr>
          <w:rFonts w:ascii="Verdana" w:hAnsi="Verdana"/>
        </w:rPr>
      </w:pPr>
      <w:r w:rsidRPr="00D377BF">
        <w:rPr>
          <w:rFonts w:ascii="Verdana" w:hAnsi="Verdana"/>
        </w:rPr>
        <w:t>De igual manera, resulta pertinente recalcar que</w:t>
      </w:r>
      <w:r w:rsidR="00162075">
        <w:rPr>
          <w:rFonts w:ascii="Verdana" w:hAnsi="Verdana"/>
        </w:rPr>
        <w:t>,</w:t>
      </w:r>
      <w:r w:rsidRPr="00D377BF">
        <w:rPr>
          <w:rFonts w:ascii="Verdana" w:hAnsi="Verdana"/>
        </w:rPr>
        <w:t xml:space="preserve"> conforme a lo dispuesto en la Ley 1010 del 2006 y el estudio de exequibilidad realizado por la </w:t>
      </w:r>
      <w:r w:rsidR="00162075">
        <w:rPr>
          <w:rFonts w:ascii="Verdana" w:hAnsi="Verdana"/>
        </w:rPr>
        <w:t>H. C</w:t>
      </w:r>
      <w:r w:rsidRPr="00D377BF">
        <w:rPr>
          <w:rFonts w:ascii="Verdana" w:hAnsi="Verdana"/>
        </w:rPr>
        <w:t xml:space="preserve">orte </w:t>
      </w:r>
      <w:r w:rsidR="00162075">
        <w:rPr>
          <w:rFonts w:ascii="Verdana" w:hAnsi="Verdana"/>
        </w:rPr>
        <w:t>C</w:t>
      </w:r>
      <w:r w:rsidRPr="00D377BF">
        <w:rPr>
          <w:rFonts w:ascii="Verdana" w:hAnsi="Verdana"/>
        </w:rPr>
        <w:t xml:space="preserve">onstitucional, mediante providencia C-960 del 2007, queda claro que los comités de convivencia laboral </w:t>
      </w:r>
      <w:r w:rsidR="00162075">
        <w:rPr>
          <w:rFonts w:ascii="Verdana" w:hAnsi="Verdana"/>
        </w:rPr>
        <w:t xml:space="preserve">de las Entidades Públicas, </w:t>
      </w:r>
      <w:r w:rsidRPr="00D377BF">
        <w:rPr>
          <w:rFonts w:ascii="Verdana" w:hAnsi="Verdana"/>
        </w:rPr>
        <w:t xml:space="preserve">solo son competentes para conocer casos en donde participen personas </w:t>
      </w:r>
      <w:r w:rsidR="00162075">
        <w:rPr>
          <w:rFonts w:ascii="Verdana" w:hAnsi="Verdana"/>
        </w:rPr>
        <w:t>que tengan</w:t>
      </w:r>
      <w:r w:rsidRPr="00D377BF">
        <w:rPr>
          <w:rFonts w:ascii="Verdana" w:hAnsi="Verdana"/>
        </w:rPr>
        <w:t xml:space="preserve"> </w:t>
      </w:r>
      <w:r w:rsidR="00162075">
        <w:rPr>
          <w:rFonts w:ascii="Verdana" w:hAnsi="Verdana"/>
        </w:rPr>
        <w:t xml:space="preserve">relación </w:t>
      </w:r>
      <w:r w:rsidRPr="00D377BF">
        <w:rPr>
          <w:rFonts w:ascii="Verdana" w:hAnsi="Verdana"/>
        </w:rPr>
        <w:t>laboral</w:t>
      </w:r>
      <w:r w:rsidR="00162075">
        <w:rPr>
          <w:rFonts w:ascii="Verdana" w:hAnsi="Verdana"/>
        </w:rPr>
        <w:t xml:space="preserve"> formal con la Entidad</w:t>
      </w:r>
      <w:r w:rsidRPr="00D377BF">
        <w:rPr>
          <w:rFonts w:ascii="Verdana" w:hAnsi="Verdana"/>
        </w:rPr>
        <w:t xml:space="preserve">, </w:t>
      </w:r>
      <w:r w:rsidR="00162075">
        <w:rPr>
          <w:rFonts w:ascii="Verdana" w:hAnsi="Verdana"/>
        </w:rPr>
        <w:t>condición que a todas luces no tienen los prestadores de servicios, a través de contratos civiles</w:t>
      </w:r>
      <w:r w:rsidRPr="00D377BF">
        <w:rPr>
          <w:rFonts w:ascii="Verdana" w:hAnsi="Verdana"/>
        </w:rPr>
        <w:t>.</w:t>
      </w:r>
    </w:p>
    <w:p w14:paraId="52BC7A20" w14:textId="77777777" w:rsidR="00D377BF" w:rsidRPr="00D377BF" w:rsidRDefault="00D377BF" w:rsidP="00D377BF">
      <w:pPr>
        <w:spacing w:after="0" w:line="240" w:lineRule="atLeast"/>
        <w:jc w:val="both"/>
        <w:rPr>
          <w:rFonts w:ascii="Verdana" w:hAnsi="Verdana"/>
        </w:rPr>
      </w:pPr>
    </w:p>
    <w:p w14:paraId="23A5F465" w14:textId="1E77A6CE" w:rsidR="00D377BF" w:rsidRPr="00D377BF" w:rsidRDefault="00D377BF" w:rsidP="00D377BF">
      <w:pPr>
        <w:spacing w:after="0" w:line="240" w:lineRule="atLeast"/>
        <w:jc w:val="both"/>
        <w:rPr>
          <w:rFonts w:ascii="Verdana" w:hAnsi="Verdana"/>
        </w:rPr>
      </w:pPr>
      <w:r w:rsidRPr="00D377BF">
        <w:rPr>
          <w:rFonts w:ascii="Verdana" w:hAnsi="Verdana"/>
        </w:rPr>
        <w:t xml:space="preserve">Así mismo, </w:t>
      </w:r>
      <w:r w:rsidR="00162075">
        <w:rPr>
          <w:rFonts w:ascii="Verdana" w:hAnsi="Verdana"/>
        </w:rPr>
        <w:t xml:space="preserve">es </w:t>
      </w:r>
      <w:r w:rsidRPr="00D377BF">
        <w:rPr>
          <w:rFonts w:ascii="Verdana" w:hAnsi="Verdana"/>
        </w:rPr>
        <w:t>de indicar que</w:t>
      </w:r>
      <w:r w:rsidR="00162075">
        <w:rPr>
          <w:rFonts w:ascii="Verdana" w:hAnsi="Verdana"/>
        </w:rPr>
        <w:t>,</w:t>
      </w:r>
      <w:r w:rsidRPr="00D377BF">
        <w:rPr>
          <w:rFonts w:ascii="Verdana" w:hAnsi="Verdana"/>
        </w:rPr>
        <w:t xml:space="preserve"> </w:t>
      </w:r>
      <w:r w:rsidR="00162075">
        <w:rPr>
          <w:rFonts w:ascii="Verdana" w:hAnsi="Verdana"/>
        </w:rPr>
        <w:t xml:space="preserve">y por corresponder a asuntos de la esfera disciplinaria, </w:t>
      </w:r>
      <w:r w:rsidRPr="00D377BF">
        <w:rPr>
          <w:rFonts w:ascii="Verdana" w:hAnsi="Verdana"/>
        </w:rPr>
        <w:t xml:space="preserve">también </w:t>
      </w:r>
      <w:r w:rsidR="00162075">
        <w:rPr>
          <w:rFonts w:ascii="Verdana" w:hAnsi="Verdana"/>
        </w:rPr>
        <w:t xml:space="preserve">debe darse curso al </w:t>
      </w:r>
      <w:r w:rsidRPr="00D377BF">
        <w:rPr>
          <w:rFonts w:ascii="Verdana" w:hAnsi="Verdana"/>
        </w:rPr>
        <w:t xml:space="preserve">principio de doble conformidad, </w:t>
      </w:r>
      <w:r w:rsidR="00F61D80">
        <w:rPr>
          <w:rFonts w:ascii="Verdana" w:hAnsi="Verdana"/>
        </w:rPr>
        <w:t xml:space="preserve">ya que, el Comité de Convivencia Laboral no tendría competencia para proferir actuación en contra de cualquier Contratista, escenario que sí recae sobre el Ministerio Público. Así pues, en el marco de dicho principio, </w:t>
      </w:r>
      <w:r w:rsidRPr="00D377BF">
        <w:rPr>
          <w:rFonts w:ascii="Verdana" w:hAnsi="Verdana"/>
        </w:rPr>
        <w:t xml:space="preserve">quien conoce del hecho, no puede ser quien instruya </w:t>
      </w:r>
      <w:r w:rsidR="00F61D80">
        <w:rPr>
          <w:rFonts w:ascii="Verdana" w:hAnsi="Verdana"/>
        </w:rPr>
        <w:t xml:space="preserve">la actuación disciplinaria, </w:t>
      </w:r>
      <w:r w:rsidRPr="00D377BF">
        <w:rPr>
          <w:rFonts w:ascii="Verdana" w:hAnsi="Verdana"/>
        </w:rPr>
        <w:t xml:space="preserve">pues ello generaría una afectación al debido proceso, </w:t>
      </w:r>
      <w:r w:rsidR="00F61D80">
        <w:rPr>
          <w:rFonts w:ascii="Verdana" w:hAnsi="Verdana"/>
        </w:rPr>
        <w:t xml:space="preserve">condición que, como previamente se indicó, bajo lo reglado en la Ley </w:t>
      </w:r>
      <w:r w:rsidRPr="00D377BF">
        <w:rPr>
          <w:rFonts w:ascii="Verdana" w:hAnsi="Verdana"/>
        </w:rPr>
        <w:t xml:space="preserve">1010 del 2006, </w:t>
      </w:r>
      <w:r w:rsidR="00F61D80">
        <w:rPr>
          <w:rFonts w:ascii="Verdana" w:hAnsi="Verdana"/>
        </w:rPr>
        <w:t>le compete a la Procuraduría General de la Nación.</w:t>
      </w:r>
    </w:p>
    <w:p w14:paraId="309D8735" w14:textId="77777777" w:rsidR="00D377BF" w:rsidRDefault="00D377BF" w:rsidP="00D377BF">
      <w:pPr>
        <w:spacing w:after="0" w:line="240" w:lineRule="atLeast"/>
        <w:jc w:val="both"/>
        <w:rPr>
          <w:rFonts w:ascii="Verdana" w:hAnsi="Verdana"/>
        </w:rPr>
      </w:pPr>
    </w:p>
    <w:p w14:paraId="16438CCD" w14:textId="716AECC8" w:rsidR="00917B41" w:rsidRDefault="00917B41" w:rsidP="00D377BF">
      <w:pPr>
        <w:spacing w:after="0" w:line="240" w:lineRule="atLeast"/>
        <w:jc w:val="both"/>
        <w:rPr>
          <w:rFonts w:ascii="Verdana" w:hAnsi="Verdana"/>
        </w:rPr>
      </w:pPr>
      <w:r>
        <w:rPr>
          <w:rFonts w:ascii="Verdana" w:hAnsi="Verdana"/>
        </w:rPr>
        <w:t>Adicionalmente, resulta necesario ahondar en el régimen sancionatorio</w:t>
      </w:r>
      <w:r w:rsidR="00F61D80">
        <w:rPr>
          <w:rFonts w:ascii="Verdana" w:hAnsi="Verdana"/>
        </w:rPr>
        <w:t xml:space="preserve">. Con ocasión a ello, </w:t>
      </w:r>
      <w:r>
        <w:rPr>
          <w:rFonts w:ascii="Verdana" w:hAnsi="Verdana"/>
        </w:rPr>
        <w:t>el Código General Disciplinario Ley 1952 del 2019, señala lo siguiente</w:t>
      </w:r>
      <w:r w:rsidR="00370B9A">
        <w:rPr>
          <w:rFonts w:ascii="Verdana" w:hAnsi="Verdana"/>
        </w:rPr>
        <w:t>:</w:t>
      </w:r>
    </w:p>
    <w:p w14:paraId="4AF23374" w14:textId="77777777" w:rsidR="00370B9A" w:rsidRDefault="00370B9A" w:rsidP="00D377BF">
      <w:pPr>
        <w:spacing w:after="0" w:line="240" w:lineRule="atLeast"/>
        <w:jc w:val="both"/>
        <w:rPr>
          <w:rFonts w:ascii="Verdana" w:hAnsi="Verdana"/>
        </w:rPr>
      </w:pPr>
    </w:p>
    <w:p w14:paraId="24906213" w14:textId="428DF9EB" w:rsidR="00370B9A" w:rsidRPr="00F61D80" w:rsidRDefault="00370B9A" w:rsidP="00370B9A">
      <w:pPr>
        <w:spacing w:after="0" w:line="240" w:lineRule="atLeast"/>
        <w:ind w:left="708"/>
        <w:jc w:val="both"/>
        <w:rPr>
          <w:rFonts w:ascii="Verdana" w:hAnsi="Verdana"/>
          <w:i/>
          <w:iCs/>
          <w:sz w:val="20"/>
          <w:szCs w:val="20"/>
        </w:rPr>
      </w:pPr>
      <w:r w:rsidRPr="00F61D80">
        <w:rPr>
          <w:rFonts w:ascii="Verdana" w:hAnsi="Verdana"/>
          <w:i/>
          <w:iCs/>
          <w:sz w:val="20"/>
          <w:szCs w:val="20"/>
        </w:rPr>
        <w:t xml:space="preserve">“Artículo 25. Destinatarios de la ley disciplinaria. Son destinatarios de la ley disciplinaria los servidores públicos, aunque se encuentren retirados del servicio y </w:t>
      </w:r>
      <w:r w:rsidRPr="00F61D80">
        <w:rPr>
          <w:rFonts w:ascii="Verdana" w:hAnsi="Verdana"/>
          <w:b/>
          <w:bCs/>
          <w:i/>
          <w:iCs/>
          <w:sz w:val="20"/>
          <w:szCs w:val="20"/>
          <w:u w:val="single"/>
        </w:rPr>
        <w:t>los particulares contemplados en esta ley.</w:t>
      </w:r>
    </w:p>
    <w:p w14:paraId="13E13335" w14:textId="77777777" w:rsidR="00370B9A" w:rsidRPr="00F61D80" w:rsidRDefault="00370B9A" w:rsidP="00370B9A">
      <w:pPr>
        <w:spacing w:after="0" w:line="240" w:lineRule="atLeast"/>
        <w:ind w:left="708"/>
        <w:jc w:val="both"/>
        <w:rPr>
          <w:rFonts w:ascii="Verdana" w:hAnsi="Verdana"/>
          <w:i/>
          <w:iCs/>
          <w:sz w:val="20"/>
          <w:szCs w:val="20"/>
        </w:rPr>
      </w:pPr>
    </w:p>
    <w:p w14:paraId="6DD75256" w14:textId="62AC098A" w:rsidR="00370B9A" w:rsidRPr="00F61D80" w:rsidRDefault="00370B9A" w:rsidP="00370B9A">
      <w:pPr>
        <w:spacing w:after="0" w:line="240" w:lineRule="atLeast"/>
        <w:ind w:left="708"/>
        <w:jc w:val="both"/>
        <w:rPr>
          <w:rFonts w:ascii="Verdana" w:hAnsi="Verdana"/>
          <w:i/>
          <w:iCs/>
          <w:sz w:val="20"/>
          <w:szCs w:val="20"/>
        </w:rPr>
      </w:pPr>
      <w:r w:rsidRPr="00F61D80">
        <w:rPr>
          <w:rFonts w:ascii="Verdana" w:hAnsi="Verdana"/>
          <w:i/>
          <w:iCs/>
          <w:sz w:val="20"/>
          <w:szCs w:val="20"/>
        </w:rPr>
        <w:t>(…)</w:t>
      </w:r>
    </w:p>
    <w:p w14:paraId="7F89106B" w14:textId="77777777" w:rsidR="00370B9A" w:rsidRPr="00F61D80" w:rsidRDefault="00370B9A" w:rsidP="00D377BF">
      <w:pPr>
        <w:spacing w:after="0" w:line="240" w:lineRule="atLeast"/>
        <w:jc w:val="both"/>
        <w:rPr>
          <w:rFonts w:ascii="Verdana" w:hAnsi="Verdana"/>
          <w:i/>
          <w:iCs/>
        </w:rPr>
      </w:pPr>
    </w:p>
    <w:p w14:paraId="4B479939" w14:textId="61339756" w:rsidR="00370B9A" w:rsidRPr="00F61D80" w:rsidRDefault="00370B9A" w:rsidP="00370B9A">
      <w:pPr>
        <w:spacing w:after="0" w:line="240" w:lineRule="atLeast"/>
        <w:ind w:left="708"/>
        <w:jc w:val="both"/>
        <w:rPr>
          <w:rFonts w:ascii="Verdana" w:hAnsi="Verdana"/>
          <w:i/>
          <w:iCs/>
          <w:sz w:val="20"/>
          <w:szCs w:val="20"/>
        </w:rPr>
      </w:pPr>
      <w:r w:rsidRPr="00F61D80">
        <w:rPr>
          <w:rFonts w:ascii="Verdana" w:hAnsi="Verdana"/>
          <w:i/>
          <w:iCs/>
          <w:sz w:val="20"/>
          <w:szCs w:val="20"/>
        </w:rPr>
        <w:t xml:space="preserve">Artículo 70. Sujetos disciplinables. El presente régimen se aplica a los particulares que ejerzan funciones públicas de manera permanente o transitoria; que administren recursos públicos; que cumplan labores de interventoría o supervisión en los contratos estatales y a los auxiliares de la justicia. </w:t>
      </w:r>
    </w:p>
    <w:p w14:paraId="73111577" w14:textId="6B31148E" w:rsidR="00370B9A" w:rsidRPr="00F61D80" w:rsidRDefault="00370B9A" w:rsidP="00370B9A">
      <w:pPr>
        <w:spacing w:after="0" w:line="240" w:lineRule="atLeast"/>
        <w:jc w:val="both"/>
        <w:rPr>
          <w:rFonts w:ascii="Verdana" w:hAnsi="Verdana"/>
          <w:i/>
          <w:iCs/>
          <w:sz w:val="20"/>
          <w:szCs w:val="20"/>
        </w:rPr>
      </w:pPr>
    </w:p>
    <w:p w14:paraId="71716BF1" w14:textId="77777777" w:rsidR="00370B9A" w:rsidRPr="00F61D80" w:rsidRDefault="00370B9A" w:rsidP="00370B9A">
      <w:pPr>
        <w:spacing w:after="0" w:line="240" w:lineRule="atLeast"/>
        <w:ind w:left="708"/>
        <w:jc w:val="both"/>
        <w:rPr>
          <w:rFonts w:ascii="Verdana" w:hAnsi="Verdana"/>
          <w:i/>
          <w:iCs/>
          <w:sz w:val="20"/>
          <w:szCs w:val="20"/>
        </w:rPr>
      </w:pPr>
      <w:r w:rsidRPr="00F61D80">
        <w:rPr>
          <w:rFonts w:ascii="Verdana" w:hAnsi="Verdana"/>
          <w:i/>
          <w:iCs/>
          <w:sz w:val="20"/>
          <w:szCs w:val="20"/>
        </w:rPr>
        <w:t xml:space="preserve">Los auxiliares de la justicia serán disciplinables conforme a este Código, sin perjuicio del poder correctivo del juez ante cuyo despacho intervengan. </w:t>
      </w:r>
    </w:p>
    <w:p w14:paraId="23F5B125" w14:textId="4E50DA5E" w:rsidR="00370B9A" w:rsidRPr="00F61D80" w:rsidRDefault="00370B9A" w:rsidP="00370B9A">
      <w:pPr>
        <w:spacing w:after="0" w:line="240" w:lineRule="atLeast"/>
        <w:jc w:val="both"/>
        <w:rPr>
          <w:rFonts w:ascii="Verdana" w:hAnsi="Verdana"/>
          <w:i/>
          <w:iCs/>
          <w:sz w:val="20"/>
          <w:szCs w:val="20"/>
        </w:rPr>
      </w:pPr>
    </w:p>
    <w:p w14:paraId="24784EBE" w14:textId="7CA625D2" w:rsidR="00370B9A" w:rsidRPr="00F61D80" w:rsidRDefault="00370B9A" w:rsidP="00370B9A">
      <w:pPr>
        <w:spacing w:after="0" w:line="240" w:lineRule="atLeast"/>
        <w:ind w:left="708"/>
        <w:jc w:val="both"/>
        <w:rPr>
          <w:rFonts w:ascii="Verdana" w:hAnsi="Verdana"/>
          <w:i/>
          <w:iCs/>
          <w:sz w:val="20"/>
          <w:szCs w:val="20"/>
        </w:rPr>
      </w:pPr>
      <w:r w:rsidRPr="00F61D80">
        <w:rPr>
          <w:rFonts w:ascii="Verdana" w:hAnsi="Verdana"/>
          <w:b/>
          <w:bCs/>
          <w:i/>
          <w:iCs/>
          <w:sz w:val="20"/>
          <w:szCs w:val="20"/>
          <w:u w:val="single"/>
        </w:rPr>
        <w:t>Se entiende que ejerce función pública aquel particular que, por disposición legal, acto administrativo, convenio o contrato, desarrolle o realice prerrogativas exclusivas de los órganos del Estado.</w:t>
      </w:r>
      <w:r w:rsidRPr="00F61D80">
        <w:rPr>
          <w:rFonts w:ascii="Verdana" w:hAnsi="Verdana"/>
          <w:i/>
          <w:iCs/>
          <w:sz w:val="20"/>
          <w:szCs w:val="20"/>
        </w:rPr>
        <w:t xml:space="preserve"> No serán disciplinables aquellos particulares que presten servicios públicos, salvo que en ejercicio de dichas actividades desempeñen funciones públicas, evento en el cual resultarán destinatarios de las normas disciplinarias.” (Subrayado y negrilla fuera de texto)</w:t>
      </w:r>
    </w:p>
    <w:p w14:paraId="53555A68" w14:textId="63E9F169" w:rsidR="00370B9A" w:rsidRDefault="00370B9A" w:rsidP="00370B9A">
      <w:pPr>
        <w:spacing w:after="0" w:line="240" w:lineRule="atLeast"/>
        <w:jc w:val="both"/>
        <w:rPr>
          <w:rFonts w:ascii="Verdana" w:hAnsi="Verdana"/>
        </w:rPr>
      </w:pPr>
      <w:r>
        <w:rPr>
          <w:rFonts w:ascii="Verdana" w:hAnsi="Verdana"/>
        </w:rPr>
        <w:lastRenderedPageBreak/>
        <w:t>Lo previamente esbozado, debe ser leído de manera integral con lo dispuesto en el artículo 3, del mismo cuerpo normativo, dentro del cual dispone el poder preferente que le asiste a la Procuraduría General de la Nación para adelantar investigaciones disciplinarias</w:t>
      </w:r>
      <w:r w:rsidR="00A95847">
        <w:rPr>
          <w:rFonts w:ascii="Verdana" w:hAnsi="Verdana"/>
        </w:rPr>
        <w:t>.</w:t>
      </w:r>
    </w:p>
    <w:p w14:paraId="2B8A57F8" w14:textId="77777777" w:rsidR="00A95847" w:rsidRDefault="00A95847" w:rsidP="00370B9A">
      <w:pPr>
        <w:spacing w:after="0" w:line="240" w:lineRule="atLeast"/>
        <w:jc w:val="both"/>
        <w:rPr>
          <w:rFonts w:ascii="Verdana" w:hAnsi="Verdana"/>
        </w:rPr>
      </w:pPr>
    </w:p>
    <w:p w14:paraId="20E9A80E" w14:textId="47E5A85C" w:rsidR="00A95847" w:rsidRPr="00370B9A" w:rsidRDefault="00A95847" w:rsidP="00370B9A">
      <w:pPr>
        <w:spacing w:after="0" w:line="240" w:lineRule="atLeast"/>
        <w:jc w:val="both"/>
        <w:rPr>
          <w:rFonts w:ascii="Verdana" w:hAnsi="Verdana"/>
        </w:rPr>
      </w:pPr>
      <w:r>
        <w:rPr>
          <w:rFonts w:ascii="Verdana" w:hAnsi="Verdana"/>
        </w:rPr>
        <w:t xml:space="preserve">Así las cosas, </w:t>
      </w:r>
      <w:r w:rsidR="00F61D80">
        <w:rPr>
          <w:rFonts w:ascii="Verdana" w:hAnsi="Verdana"/>
        </w:rPr>
        <w:t xml:space="preserve">se reitera, como los casos puestos en conocimiento del Ministerio Público </w:t>
      </w:r>
      <w:r>
        <w:rPr>
          <w:rFonts w:ascii="Verdana" w:hAnsi="Verdana"/>
        </w:rPr>
        <w:t xml:space="preserve">versan sobre </w:t>
      </w:r>
      <w:r w:rsidR="00F61D80">
        <w:rPr>
          <w:rFonts w:ascii="Verdana" w:hAnsi="Verdana"/>
        </w:rPr>
        <w:t>C</w:t>
      </w:r>
      <w:r>
        <w:rPr>
          <w:rFonts w:ascii="Verdana" w:hAnsi="Verdana"/>
        </w:rPr>
        <w:t xml:space="preserve">ontratistas </w:t>
      </w:r>
      <w:r w:rsidR="00F61D80">
        <w:rPr>
          <w:rFonts w:ascii="Verdana" w:hAnsi="Verdana"/>
        </w:rPr>
        <w:t xml:space="preserve">de prestación de servicios </w:t>
      </w:r>
      <w:r>
        <w:rPr>
          <w:rFonts w:ascii="Verdana" w:hAnsi="Verdana"/>
        </w:rPr>
        <w:t xml:space="preserve">y que, conforme al marco normativo, </w:t>
      </w:r>
      <w:r w:rsidR="00F61D80">
        <w:rPr>
          <w:rFonts w:ascii="Verdana" w:hAnsi="Verdana"/>
        </w:rPr>
        <w:t xml:space="preserve">estas personas naturales </w:t>
      </w:r>
      <w:r>
        <w:rPr>
          <w:rFonts w:ascii="Verdana" w:hAnsi="Verdana"/>
        </w:rPr>
        <w:t xml:space="preserve">que desarrollen prerrogativas de los Órganos del </w:t>
      </w:r>
      <w:r w:rsidR="00BD0240">
        <w:rPr>
          <w:rFonts w:ascii="Verdana" w:hAnsi="Verdana"/>
        </w:rPr>
        <w:t>Estado</w:t>
      </w:r>
      <w:r>
        <w:rPr>
          <w:rFonts w:ascii="Verdana" w:hAnsi="Verdana"/>
        </w:rPr>
        <w:t xml:space="preserve"> </w:t>
      </w:r>
      <w:r w:rsidR="00F61D80">
        <w:rPr>
          <w:rFonts w:ascii="Verdana" w:hAnsi="Verdana"/>
        </w:rPr>
        <w:t xml:space="preserve">pueden ser </w:t>
      </w:r>
      <w:r>
        <w:rPr>
          <w:rFonts w:ascii="Verdana" w:hAnsi="Verdana"/>
        </w:rPr>
        <w:t>sujetos de acción disciplinaria, lo cierto es que</w:t>
      </w:r>
      <w:r w:rsidR="00F61D80">
        <w:rPr>
          <w:rFonts w:ascii="Verdana" w:hAnsi="Verdana"/>
        </w:rPr>
        <w:t>,</w:t>
      </w:r>
      <w:r>
        <w:rPr>
          <w:rFonts w:ascii="Verdana" w:hAnsi="Verdana"/>
        </w:rPr>
        <w:t xml:space="preserve"> el Ministerio Público es competente para iniciar acciones disciplinarias sobre los caso en cuestión</w:t>
      </w:r>
      <w:r w:rsidR="00F61D80">
        <w:rPr>
          <w:rFonts w:ascii="Verdana" w:hAnsi="Verdana"/>
        </w:rPr>
        <w:t>, siempre y cuando exista mérito para ello</w:t>
      </w:r>
      <w:r>
        <w:rPr>
          <w:rFonts w:ascii="Verdana" w:hAnsi="Verdana"/>
        </w:rPr>
        <w:t>.</w:t>
      </w:r>
    </w:p>
    <w:p w14:paraId="6B7ACDBC" w14:textId="77777777" w:rsidR="00370B9A" w:rsidRDefault="00370B9A" w:rsidP="00370B9A">
      <w:pPr>
        <w:spacing w:after="0" w:line="240" w:lineRule="atLeast"/>
        <w:jc w:val="both"/>
        <w:rPr>
          <w:rFonts w:ascii="Verdana" w:hAnsi="Verdana"/>
        </w:rPr>
      </w:pPr>
    </w:p>
    <w:p w14:paraId="385D75E0" w14:textId="77777777" w:rsidR="00FE0B95" w:rsidRDefault="00F61D80" w:rsidP="00F61D80">
      <w:pPr>
        <w:spacing w:after="0" w:line="240" w:lineRule="atLeast"/>
        <w:jc w:val="both"/>
        <w:rPr>
          <w:rFonts w:ascii="Verdana" w:hAnsi="Verdana" w:cs="Arial"/>
        </w:rPr>
      </w:pPr>
      <w:r>
        <w:rPr>
          <w:rFonts w:ascii="Verdana" w:hAnsi="Verdana"/>
        </w:rPr>
        <w:t xml:space="preserve">De igual manera, es menester informar al Ente de Control que, al interior de este Ministerio se efectuaron los análisis correspondientes, particularmente lo que corresponde a las competencias propias del Comité, por lo que, </w:t>
      </w:r>
      <w:r w:rsidR="00FE0B95">
        <w:rPr>
          <w:rFonts w:ascii="Verdana" w:hAnsi="Verdana"/>
        </w:rPr>
        <w:t xml:space="preserve">a través de la </w:t>
      </w:r>
      <w:r>
        <w:rPr>
          <w:rFonts w:ascii="Verdana" w:hAnsi="Verdana" w:cs="Arial"/>
        </w:rPr>
        <w:t>Resolución 0225 del tres (03) de marzo del 2025</w:t>
      </w:r>
      <w:r w:rsidR="00FE0B95">
        <w:rPr>
          <w:rFonts w:ascii="Verdana" w:hAnsi="Verdana" w:cs="Arial"/>
        </w:rPr>
        <w:t xml:space="preserve"> </w:t>
      </w:r>
      <w:r>
        <w:rPr>
          <w:rFonts w:ascii="Verdana" w:hAnsi="Verdana" w:cs="Arial"/>
        </w:rPr>
        <w:t>se actualiz</w:t>
      </w:r>
      <w:r w:rsidR="00FE0B95">
        <w:rPr>
          <w:rFonts w:ascii="Verdana" w:hAnsi="Verdana" w:cs="Arial"/>
        </w:rPr>
        <w:t>ó</w:t>
      </w:r>
      <w:r>
        <w:rPr>
          <w:rFonts w:ascii="Verdana" w:hAnsi="Verdana" w:cs="Arial"/>
        </w:rPr>
        <w:t xml:space="preserve"> el funcionamiento y conformación del Comité de Convivencia Laboral</w:t>
      </w:r>
      <w:r w:rsidR="00FE0B95">
        <w:rPr>
          <w:rFonts w:ascii="Verdana" w:hAnsi="Verdana" w:cs="Arial"/>
        </w:rPr>
        <w:t xml:space="preserve"> de este Ministerio.</w:t>
      </w:r>
    </w:p>
    <w:p w14:paraId="6B39AFBE" w14:textId="77777777" w:rsidR="00FE0B95" w:rsidRDefault="00FE0B95" w:rsidP="00F61D80">
      <w:pPr>
        <w:spacing w:after="0" w:line="240" w:lineRule="atLeast"/>
        <w:jc w:val="both"/>
        <w:rPr>
          <w:rFonts w:ascii="Verdana" w:hAnsi="Verdana" w:cs="Arial"/>
        </w:rPr>
      </w:pPr>
    </w:p>
    <w:p w14:paraId="33E3C56E" w14:textId="1FA0E1BC" w:rsidR="00F61D80" w:rsidRDefault="00FE0B95" w:rsidP="00F61D80">
      <w:pPr>
        <w:spacing w:after="0" w:line="240" w:lineRule="atLeast"/>
        <w:jc w:val="both"/>
        <w:rPr>
          <w:rFonts w:ascii="Verdana" w:hAnsi="Verdana" w:cs="Arial"/>
        </w:rPr>
      </w:pPr>
      <w:r>
        <w:rPr>
          <w:rFonts w:ascii="Verdana" w:hAnsi="Verdana" w:cs="Arial"/>
        </w:rPr>
        <w:t>Con ocasión al precitado acto administrativo,</w:t>
      </w:r>
      <w:r w:rsidR="00F61D80">
        <w:rPr>
          <w:rFonts w:ascii="Verdana" w:hAnsi="Verdana" w:cs="Arial"/>
        </w:rPr>
        <w:t xml:space="preserve"> </w:t>
      </w:r>
      <w:r>
        <w:rPr>
          <w:rFonts w:ascii="Verdana" w:hAnsi="Verdana" w:cs="Arial"/>
        </w:rPr>
        <w:t xml:space="preserve">el </w:t>
      </w:r>
      <w:r w:rsidR="00F61D80">
        <w:rPr>
          <w:rFonts w:ascii="Verdana" w:hAnsi="Verdana" w:cs="Arial"/>
        </w:rPr>
        <w:t>artículo segundo de</w:t>
      </w:r>
      <w:r>
        <w:rPr>
          <w:rFonts w:ascii="Verdana" w:hAnsi="Verdana" w:cs="Arial"/>
        </w:rPr>
        <w:t xml:space="preserve"> éste </w:t>
      </w:r>
      <w:r w:rsidR="00F61D80" w:rsidRPr="00665104">
        <w:rPr>
          <w:rFonts w:ascii="Verdana" w:hAnsi="Verdana" w:cs="Arial"/>
          <w:b/>
          <w:bCs/>
        </w:rPr>
        <w:t xml:space="preserve">dispone que las disposiciones allí contenidas solo serán aplicables a los servidores públicos que conforman la planta de personal del Ministerio, </w:t>
      </w:r>
      <w:r w:rsidR="00F61D80" w:rsidRPr="00665104">
        <w:rPr>
          <w:rFonts w:ascii="Verdana" w:hAnsi="Verdana" w:cs="Arial"/>
          <w:b/>
          <w:bCs/>
          <w:u w:val="single"/>
        </w:rPr>
        <w:t>excluyendo taxativamente  a los contratistas</w:t>
      </w:r>
      <w:r w:rsidR="00F61D80">
        <w:rPr>
          <w:rFonts w:ascii="Verdana" w:hAnsi="Verdana" w:cs="Arial"/>
        </w:rPr>
        <w:t xml:space="preserve">, así mismo dentro de artículo 5 del mismo cuerpo, queda claro que el objetivo del </w:t>
      </w:r>
      <w:r>
        <w:rPr>
          <w:rFonts w:ascii="Verdana" w:hAnsi="Verdana" w:cs="Arial"/>
        </w:rPr>
        <w:t>C</w:t>
      </w:r>
      <w:r w:rsidR="00F61D80">
        <w:rPr>
          <w:rFonts w:ascii="Verdana" w:hAnsi="Verdana" w:cs="Arial"/>
        </w:rPr>
        <w:t>omité</w:t>
      </w:r>
      <w:r>
        <w:rPr>
          <w:rFonts w:ascii="Verdana" w:hAnsi="Verdana" w:cs="Arial"/>
        </w:rPr>
        <w:t xml:space="preserve"> de Convivencia Laboral </w:t>
      </w:r>
      <w:r w:rsidR="00F61D80">
        <w:rPr>
          <w:rFonts w:ascii="Verdana" w:hAnsi="Verdana" w:cs="Arial"/>
        </w:rPr>
        <w:t>se encuentra encaminado a la prevención y adopción de estrategias de tratamiento, reacción y prevención frente a las situaciones de condiciones laborales</w:t>
      </w:r>
      <w:r>
        <w:rPr>
          <w:rFonts w:ascii="Verdana" w:hAnsi="Verdana" w:cs="Arial"/>
        </w:rPr>
        <w:t>.</w:t>
      </w:r>
    </w:p>
    <w:p w14:paraId="2C7B9E32" w14:textId="77777777" w:rsidR="00F61D80" w:rsidRPr="00D377BF" w:rsidRDefault="00F61D80" w:rsidP="00370B9A">
      <w:pPr>
        <w:spacing w:after="0" w:line="240" w:lineRule="atLeast"/>
        <w:jc w:val="both"/>
        <w:rPr>
          <w:rFonts w:ascii="Verdana" w:hAnsi="Verdana"/>
        </w:rPr>
      </w:pPr>
    </w:p>
    <w:p w14:paraId="2658BECB" w14:textId="7495D330" w:rsidR="00D377BF" w:rsidRDefault="00D377BF" w:rsidP="00D377BF">
      <w:pPr>
        <w:spacing w:after="0" w:line="240" w:lineRule="atLeast"/>
        <w:jc w:val="both"/>
        <w:rPr>
          <w:rFonts w:ascii="Verdana" w:hAnsi="Verdana"/>
        </w:rPr>
      </w:pPr>
      <w:r w:rsidRPr="00D377BF">
        <w:rPr>
          <w:rFonts w:ascii="Verdana" w:hAnsi="Verdana"/>
        </w:rPr>
        <w:t>Por lo anteriormente expuesto, y conforme a las obligaciones normativas, con miras a lograr la consolidación de los fines del Estado Colombiano, respetuosamente solicitamos se reconsider</w:t>
      </w:r>
      <w:r w:rsidR="00FE0B95">
        <w:rPr>
          <w:rFonts w:ascii="Verdana" w:hAnsi="Verdana"/>
        </w:rPr>
        <w:t>en</w:t>
      </w:r>
      <w:r w:rsidRPr="00D377BF">
        <w:rPr>
          <w:rFonts w:ascii="Verdana" w:hAnsi="Verdana"/>
        </w:rPr>
        <w:t xml:space="preserve"> la</w:t>
      </w:r>
      <w:r w:rsidR="00FE0B95">
        <w:rPr>
          <w:rFonts w:ascii="Verdana" w:hAnsi="Verdana"/>
        </w:rPr>
        <w:t>s</w:t>
      </w:r>
      <w:r w:rsidRPr="00D377BF">
        <w:rPr>
          <w:rFonts w:ascii="Verdana" w:hAnsi="Verdana"/>
        </w:rPr>
        <w:t xml:space="preserve"> decis</w:t>
      </w:r>
      <w:r w:rsidR="00FE0B95">
        <w:rPr>
          <w:rFonts w:ascii="Verdana" w:hAnsi="Verdana"/>
        </w:rPr>
        <w:t>iones adoptadas por el Ministerio Público</w:t>
      </w:r>
      <w:r w:rsidRPr="00D377BF">
        <w:rPr>
          <w:rFonts w:ascii="Verdana" w:hAnsi="Verdana"/>
        </w:rPr>
        <w:t xml:space="preserve"> y que la </w:t>
      </w:r>
      <w:r w:rsidR="00FE0B95">
        <w:rPr>
          <w:rFonts w:ascii="Verdana" w:hAnsi="Verdana"/>
        </w:rPr>
        <w:t>E</w:t>
      </w:r>
      <w:r w:rsidRPr="00D377BF">
        <w:rPr>
          <w:rFonts w:ascii="Verdana" w:hAnsi="Verdana"/>
        </w:rPr>
        <w:t xml:space="preserve">ntidad que preside asuma el conocimiento sobre la actuación </w:t>
      </w:r>
      <w:r w:rsidR="00FE0B95">
        <w:rPr>
          <w:rFonts w:ascii="Verdana" w:hAnsi="Verdana"/>
        </w:rPr>
        <w:t>disciplinaria</w:t>
      </w:r>
      <w:r w:rsidRPr="00D377BF">
        <w:rPr>
          <w:rFonts w:ascii="Verdana" w:hAnsi="Verdana"/>
        </w:rPr>
        <w:t xml:space="preserve"> de los casos </w:t>
      </w:r>
      <w:r w:rsidR="00FE0B95">
        <w:rPr>
          <w:rFonts w:ascii="Verdana" w:hAnsi="Verdana"/>
        </w:rPr>
        <w:t>objeto de estudio, se reitera, por corresponder a partes procesales en calidad de Contratistas de prestación de servicios</w:t>
      </w:r>
      <w:r w:rsidRPr="00D377BF">
        <w:rPr>
          <w:rFonts w:ascii="Verdana" w:hAnsi="Verdana"/>
        </w:rPr>
        <w:t>.</w:t>
      </w:r>
    </w:p>
    <w:p w14:paraId="016E5C06" w14:textId="77777777" w:rsidR="00D377BF" w:rsidRPr="00D377BF" w:rsidRDefault="00D377BF" w:rsidP="00D377BF">
      <w:pPr>
        <w:spacing w:after="0" w:line="240" w:lineRule="atLeast"/>
        <w:jc w:val="both"/>
        <w:rPr>
          <w:rFonts w:ascii="Verdana" w:hAnsi="Verdana"/>
        </w:rPr>
      </w:pPr>
    </w:p>
    <w:p w14:paraId="113EBB03" w14:textId="77777777" w:rsidR="00D377BF" w:rsidRPr="00D377BF" w:rsidRDefault="00D377BF" w:rsidP="00D377BF">
      <w:pPr>
        <w:spacing w:after="0" w:line="240" w:lineRule="atLeast"/>
        <w:jc w:val="both"/>
        <w:rPr>
          <w:rFonts w:ascii="Verdana" w:hAnsi="Verdana"/>
        </w:rPr>
      </w:pPr>
      <w:r w:rsidRPr="00D377BF">
        <w:rPr>
          <w:rFonts w:ascii="Verdana" w:hAnsi="Verdana"/>
        </w:rPr>
        <w:t>Sin otro particular, quedamos atentos a su pronta respuesta, así como cualquier solicitud adicional.</w:t>
      </w:r>
    </w:p>
    <w:p w14:paraId="2E991C89" w14:textId="77777777" w:rsidR="00D377BF" w:rsidRPr="00D377BF" w:rsidRDefault="00D377BF" w:rsidP="00D377BF">
      <w:pPr>
        <w:spacing w:after="0" w:line="240" w:lineRule="atLeast"/>
        <w:jc w:val="both"/>
        <w:rPr>
          <w:rFonts w:ascii="Verdana" w:hAnsi="Verdana"/>
        </w:rPr>
      </w:pPr>
    </w:p>
    <w:p w14:paraId="29C02035" w14:textId="33E7EBF7" w:rsidR="005263D5" w:rsidRPr="00D377BF" w:rsidRDefault="00FE0B95" w:rsidP="00D377BF">
      <w:pPr>
        <w:spacing w:after="0" w:line="240" w:lineRule="atLeast"/>
        <w:rPr>
          <w:rFonts w:ascii="Verdana" w:hAnsi="Verdana"/>
        </w:rPr>
      </w:pPr>
      <w:r>
        <w:rPr>
          <w:rFonts w:ascii="Verdana" w:hAnsi="Verdana"/>
        </w:rPr>
        <w:t>Atentamente,</w:t>
      </w:r>
    </w:p>
    <w:sectPr w:rsidR="005263D5" w:rsidRPr="00D377BF" w:rsidSect="002F1947">
      <w:headerReference w:type="default" r:id="rId9"/>
      <w:footerReference w:type="default" r:id="rId10"/>
      <w:pgSz w:w="12240" w:h="15840"/>
      <w:pgMar w:top="2127" w:right="1701" w:bottom="1833"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5E50" w14:textId="77777777" w:rsidR="008D1C22" w:rsidRDefault="008D1C22" w:rsidP="00015E76">
      <w:pPr>
        <w:spacing w:after="0" w:line="240" w:lineRule="auto"/>
      </w:pPr>
      <w:r>
        <w:separator/>
      </w:r>
    </w:p>
  </w:endnote>
  <w:endnote w:type="continuationSeparator" w:id="0">
    <w:p w14:paraId="34337198" w14:textId="77777777" w:rsidR="008D1C22" w:rsidRDefault="008D1C22" w:rsidP="00015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7A9CC067" w14:textId="77777777" w:rsidR="0042046E" w:rsidRPr="008A4E75" w:rsidRDefault="001B6904"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2337A33A" wp14:editId="3C3C9A38">
                  <wp:simplePos x="0" y="0"/>
                  <wp:positionH relativeFrom="margin">
                    <wp:posOffset>-88265</wp:posOffset>
                  </wp:positionH>
                  <wp:positionV relativeFrom="paragraph">
                    <wp:posOffset>-174124</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6CCBECA1" w14:textId="77777777" w:rsidR="0042046E" w:rsidRDefault="0042046E" w:rsidP="00D34D20">
                              <w:pPr>
                                <w:spacing w:after="0" w:line="276" w:lineRule="auto"/>
                                <w:jc w:val="both"/>
                                <w:rPr>
                                  <w:rFonts w:ascii="Helvetica" w:hAnsi="Helvetica"/>
                                  <w:sz w:val="20"/>
                                  <w:szCs w:val="20"/>
                                </w:rPr>
                              </w:pPr>
                            </w:p>
                            <w:p w14:paraId="6641DCD7" w14:textId="77777777" w:rsidR="0042046E" w:rsidRPr="00256928" w:rsidRDefault="001B6904"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07C203CB" w14:textId="77777777" w:rsidR="0042046E" w:rsidRPr="00325C9F" w:rsidRDefault="001B6904"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9183480"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0A2DD5A"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0" w:name="_Hlk173416767"/>
                              <w:r w:rsidRPr="00325C9F">
                                <w:rPr>
                                  <w:rFonts w:ascii="Verdana" w:hAnsi="Verdana"/>
                                  <w:sz w:val="18"/>
                                  <w:szCs w:val="18"/>
                                </w:rPr>
                                <w:t>3133463676</w:t>
                              </w:r>
                              <w:bookmarkEnd w:id="0"/>
                            </w:p>
                            <w:p w14:paraId="3312B125" w14:textId="77777777" w:rsidR="0042046E" w:rsidRPr="00325C9F" w:rsidRDefault="001B6904"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37A33A" id="_x0000_t202" coordsize="21600,21600" o:spt="202" path="m,l,21600r21600,l21600,xe">
                  <v:stroke joinstyle="miter"/>
                  <v:path gradientshapeok="t" o:connecttype="rect"/>
                </v:shapetype>
                <v:shape id="Cuadro de texto 1" o:spid="_x0000_s1026" type="#_x0000_t202" style="position:absolute;left:0;text-align:left;margin-left:-6.95pt;margin-top:-13.7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" filled="f" stroked="f" strokeweight=".5pt">
                  <v:textbox>
                    <w:txbxContent>
                      <w:p w14:paraId="6CCBECA1" w14:textId="77777777" w:rsidR="0042046E" w:rsidRDefault="0042046E" w:rsidP="00D34D20">
                        <w:pPr>
                          <w:spacing w:after="0" w:line="276" w:lineRule="auto"/>
                          <w:jc w:val="both"/>
                          <w:rPr>
                            <w:rFonts w:ascii="Helvetica" w:hAnsi="Helvetica"/>
                            <w:sz w:val="20"/>
                            <w:szCs w:val="20"/>
                          </w:rPr>
                        </w:pPr>
                      </w:p>
                      <w:p w14:paraId="6641DCD7" w14:textId="77777777" w:rsidR="0042046E" w:rsidRPr="00256928" w:rsidRDefault="001B6904"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07C203CB" w14:textId="77777777" w:rsidR="0042046E" w:rsidRPr="00325C9F" w:rsidRDefault="001B6904"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9183480"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0A2DD5A"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1" w:name="_Hlk173416767"/>
                        <w:r w:rsidRPr="00325C9F">
                          <w:rPr>
                            <w:rFonts w:ascii="Verdana" w:hAnsi="Verdana"/>
                            <w:sz w:val="18"/>
                            <w:szCs w:val="18"/>
                          </w:rPr>
                          <w:t>3133463676</w:t>
                        </w:r>
                        <w:bookmarkEnd w:id="1"/>
                      </w:p>
                      <w:p w14:paraId="3312B125" w14:textId="77777777" w:rsidR="0042046E" w:rsidRPr="00325C9F" w:rsidRDefault="001B6904"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8A4E75">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8A4E75">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Pr="008A4E75">
          <w:rPr>
            <w:rFonts w:ascii="Verdana" w:hAnsi="Verdana"/>
            <w:color w:val="000000"/>
            <w:sz w:val="18"/>
            <w:szCs w:val="18"/>
            <w:lang w:val="pt-PT"/>
          </w:rPr>
          <w:t>2</w:t>
        </w:r>
        <w:r w:rsidRPr="00325C9F">
          <w:rPr>
            <w:rFonts w:ascii="Verdana" w:hAnsi="Verdana"/>
            <w:color w:val="000000"/>
            <w:sz w:val="18"/>
            <w:szCs w:val="18"/>
          </w:rPr>
          <w:fldChar w:fldCharType="end"/>
        </w:r>
        <w:r w:rsidRPr="008A4E75">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8A4E75">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Pr="008A4E75">
          <w:rPr>
            <w:rFonts w:ascii="Verdana" w:hAnsi="Verdana"/>
            <w:color w:val="000000"/>
            <w:sz w:val="18"/>
            <w:szCs w:val="18"/>
            <w:lang w:val="pt-PT"/>
          </w:rPr>
          <w:t>2</w:t>
        </w:r>
        <w:r w:rsidRPr="00325C9F">
          <w:rPr>
            <w:rFonts w:ascii="Verdana" w:hAnsi="Verdana"/>
            <w:color w:val="000000"/>
            <w:sz w:val="18"/>
            <w:szCs w:val="18"/>
          </w:rPr>
          <w:fldChar w:fldCharType="end"/>
        </w:r>
      </w:p>
      <w:p w14:paraId="6A8E305E" w14:textId="77777777" w:rsidR="0042046E" w:rsidRPr="008A4E75" w:rsidRDefault="0042046E" w:rsidP="0022254F">
        <w:pPr>
          <w:pStyle w:val="Piedepgina"/>
          <w:jc w:val="right"/>
          <w:rPr>
            <w:rFonts w:ascii="Verdana" w:hAnsi="Verdana"/>
            <w:color w:val="000000"/>
            <w:sz w:val="18"/>
            <w:szCs w:val="18"/>
            <w:lang w:val="pt-PT"/>
          </w:rPr>
        </w:pPr>
      </w:p>
      <w:p w14:paraId="6BE27736" w14:textId="77777777" w:rsidR="0042046E" w:rsidRPr="008A4E75" w:rsidRDefault="001B6904" w:rsidP="0022254F">
        <w:pPr>
          <w:pStyle w:val="Piedepgina"/>
          <w:jc w:val="right"/>
          <w:rPr>
            <w:rFonts w:ascii="Verdana" w:hAnsi="Verdana"/>
            <w:sz w:val="18"/>
            <w:szCs w:val="18"/>
            <w:lang w:val="pt-PT"/>
          </w:rPr>
        </w:pPr>
        <w:r w:rsidRPr="008A4E75">
          <w:rPr>
            <w:rFonts w:ascii="Verdana" w:hAnsi="Verdana"/>
            <w:sz w:val="18"/>
            <w:szCs w:val="18"/>
            <w:lang w:val="pt-PT"/>
          </w:rPr>
          <w:t xml:space="preserve">F-E-SIG-23:V8 </w:t>
        </w:r>
        <w:bookmarkStart w:id="1" w:name="_Hlk173416803"/>
        <w:r w:rsidRPr="008A4E75">
          <w:rPr>
            <w:rFonts w:ascii="Verdana" w:hAnsi="Verdana"/>
            <w:sz w:val="18"/>
            <w:szCs w:val="18"/>
            <w:lang w:val="pt-PT"/>
          </w:rPr>
          <w:t>02-08-2024</w:t>
        </w:r>
      </w:p>
    </w:sdtContent>
  </w:sdt>
  <w:bookmarkEnd w:id="1" w:displacedByCustomXml="prev"/>
  <w:p w14:paraId="6A04567D" w14:textId="77777777" w:rsidR="0042046E" w:rsidRPr="008A4E75" w:rsidRDefault="0042046E" w:rsidP="00D34D20">
    <w:pPr>
      <w:spacing w:after="0" w:line="276" w:lineRule="auto"/>
      <w:jc w:val="both"/>
      <w:rPr>
        <w:rFonts w:ascii="Helvetica" w:hAnsi="Helvetica"/>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8DF0" w14:textId="77777777" w:rsidR="008D1C22" w:rsidRDefault="008D1C22" w:rsidP="00015E76">
      <w:pPr>
        <w:spacing w:after="0" w:line="240" w:lineRule="auto"/>
      </w:pPr>
      <w:r>
        <w:separator/>
      </w:r>
    </w:p>
  </w:footnote>
  <w:footnote w:type="continuationSeparator" w:id="0">
    <w:p w14:paraId="16376C64" w14:textId="77777777" w:rsidR="008D1C22" w:rsidRDefault="008D1C22" w:rsidP="00015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E87D" w14:textId="77777777" w:rsidR="0042046E" w:rsidRDefault="001B6904">
    <w:pPr>
      <w:pStyle w:val="Encabezado"/>
    </w:pPr>
    <w:r>
      <w:rPr>
        <w:noProof/>
        <w:lang w:val="en-US"/>
      </w:rPr>
      <w:drawing>
        <wp:anchor distT="0" distB="0" distL="114300" distR="114300" simplePos="0" relativeHeight="251660288" behindDoc="1" locked="0" layoutInCell="1" allowOverlap="1" wp14:anchorId="4486E266" wp14:editId="05A843A4">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B1"/>
    <w:multiLevelType w:val="hybridMultilevel"/>
    <w:tmpl w:val="FB221270"/>
    <w:lvl w:ilvl="0" w:tplc="A3708E98">
      <w:start w:val="1"/>
      <w:numFmt w:val="lowerLetter"/>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0EA6227"/>
    <w:multiLevelType w:val="hybridMultilevel"/>
    <w:tmpl w:val="F31AC4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729261F"/>
    <w:multiLevelType w:val="hybridMultilevel"/>
    <w:tmpl w:val="67548186"/>
    <w:lvl w:ilvl="0" w:tplc="81065E2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8C91CD5"/>
    <w:multiLevelType w:val="hybridMultilevel"/>
    <w:tmpl w:val="BF02375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D200A85"/>
    <w:multiLevelType w:val="hybridMultilevel"/>
    <w:tmpl w:val="6C961AE0"/>
    <w:lvl w:ilvl="0" w:tplc="85D48D3E">
      <w:start w:val="1"/>
      <w:numFmt w:val="upperRoman"/>
      <w:lvlText w:val="%1)"/>
      <w:lvlJc w:val="left"/>
      <w:pPr>
        <w:ind w:left="720" w:hanging="72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E482993"/>
    <w:multiLevelType w:val="hybridMultilevel"/>
    <w:tmpl w:val="5E10E090"/>
    <w:lvl w:ilvl="0" w:tplc="B52268A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44F049D"/>
    <w:multiLevelType w:val="hybridMultilevel"/>
    <w:tmpl w:val="03BA42EA"/>
    <w:lvl w:ilvl="0" w:tplc="976A414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0821854">
    <w:abstractNumId w:val="2"/>
  </w:num>
  <w:num w:numId="2" w16cid:durableId="1501265167">
    <w:abstractNumId w:val="1"/>
  </w:num>
  <w:num w:numId="3" w16cid:durableId="995380751">
    <w:abstractNumId w:val="4"/>
  </w:num>
  <w:num w:numId="4" w16cid:durableId="193884233">
    <w:abstractNumId w:val="0"/>
  </w:num>
  <w:num w:numId="5" w16cid:durableId="243995802">
    <w:abstractNumId w:val="5"/>
  </w:num>
  <w:num w:numId="6" w16cid:durableId="2113936717">
    <w:abstractNumId w:val="3"/>
  </w:num>
  <w:num w:numId="7" w16cid:durableId="20849137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E76"/>
    <w:rsid w:val="00007825"/>
    <w:rsid w:val="00013B08"/>
    <w:rsid w:val="00015E76"/>
    <w:rsid w:val="0002239C"/>
    <w:rsid w:val="0002587C"/>
    <w:rsid w:val="00056FF7"/>
    <w:rsid w:val="00093E8B"/>
    <w:rsid w:val="000A7746"/>
    <w:rsid w:val="000B0DF0"/>
    <w:rsid w:val="000F552D"/>
    <w:rsid w:val="000F5603"/>
    <w:rsid w:val="001033C3"/>
    <w:rsid w:val="0011305F"/>
    <w:rsid w:val="00124D05"/>
    <w:rsid w:val="00162075"/>
    <w:rsid w:val="00162A7A"/>
    <w:rsid w:val="0019171E"/>
    <w:rsid w:val="00193C6C"/>
    <w:rsid w:val="001B6904"/>
    <w:rsid w:val="001F182D"/>
    <w:rsid w:val="001F2B6E"/>
    <w:rsid w:val="002006AA"/>
    <w:rsid w:val="00236A2D"/>
    <w:rsid w:val="00237CEE"/>
    <w:rsid w:val="002464A3"/>
    <w:rsid w:val="00275C7D"/>
    <w:rsid w:val="002812CB"/>
    <w:rsid w:val="00282D10"/>
    <w:rsid w:val="0028402C"/>
    <w:rsid w:val="0028415C"/>
    <w:rsid w:val="002A5340"/>
    <w:rsid w:val="002B433C"/>
    <w:rsid w:val="002C1043"/>
    <w:rsid w:val="002C417D"/>
    <w:rsid w:val="002C78F9"/>
    <w:rsid w:val="002E053F"/>
    <w:rsid w:val="002E4666"/>
    <w:rsid w:val="002F1947"/>
    <w:rsid w:val="002F3819"/>
    <w:rsid w:val="002F768F"/>
    <w:rsid w:val="002F7701"/>
    <w:rsid w:val="003161CD"/>
    <w:rsid w:val="00325203"/>
    <w:rsid w:val="0033144B"/>
    <w:rsid w:val="00334EA0"/>
    <w:rsid w:val="00355472"/>
    <w:rsid w:val="00370B9A"/>
    <w:rsid w:val="0038235E"/>
    <w:rsid w:val="00383530"/>
    <w:rsid w:val="00384DF4"/>
    <w:rsid w:val="003C016F"/>
    <w:rsid w:val="003C2A1C"/>
    <w:rsid w:val="003D0675"/>
    <w:rsid w:val="003D2E5E"/>
    <w:rsid w:val="003D48C3"/>
    <w:rsid w:val="003F13FC"/>
    <w:rsid w:val="0040051E"/>
    <w:rsid w:val="00402096"/>
    <w:rsid w:val="0042046E"/>
    <w:rsid w:val="0042137B"/>
    <w:rsid w:val="004309B9"/>
    <w:rsid w:val="004470A7"/>
    <w:rsid w:val="004560F2"/>
    <w:rsid w:val="0048551C"/>
    <w:rsid w:val="004868DE"/>
    <w:rsid w:val="004A0571"/>
    <w:rsid w:val="004B1ABE"/>
    <w:rsid w:val="004B5938"/>
    <w:rsid w:val="004C3603"/>
    <w:rsid w:val="004C6D55"/>
    <w:rsid w:val="004D08EE"/>
    <w:rsid w:val="004D3B2A"/>
    <w:rsid w:val="004D5AE5"/>
    <w:rsid w:val="004D5AE6"/>
    <w:rsid w:val="0052342D"/>
    <w:rsid w:val="005263D5"/>
    <w:rsid w:val="00582E34"/>
    <w:rsid w:val="00586096"/>
    <w:rsid w:val="005B4333"/>
    <w:rsid w:val="005C4744"/>
    <w:rsid w:val="005C52F6"/>
    <w:rsid w:val="005E5017"/>
    <w:rsid w:val="005F6B74"/>
    <w:rsid w:val="00602B02"/>
    <w:rsid w:val="00604491"/>
    <w:rsid w:val="0060715F"/>
    <w:rsid w:val="00640224"/>
    <w:rsid w:val="00651395"/>
    <w:rsid w:val="00661460"/>
    <w:rsid w:val="00665D25"/>
    <w:rsid w:val="006675F0"/>
    <w:rsid w:val="0067123B"/>
    <w:rsid w:val="006909A6"/>
    <w:rsid w:val="006921E7"/>
    <w:rsid w:val="006A4C18"/>
    <w:rsid w:val="006B07A1"/>
    <w:rsid w:val="006B7BA4"/>
    <w:rsid w:val="006D28BD"/>
    <w:rsid w:val="006E123D"/>
    <w:rsid w:val="006E237A"/>
    <w:rsid w:val="006E3F41"/>
    <w:rsid w:val="006E41F7"/>
    <w:rsid w:val="006F1245"/>
    <w:rsid w:val="007031F6"/>
    <w:rsid w:val="007500F6"/>
    <w:rsid w:val="00765541"/>
    <w:rsid w:val="0077341E"/>
    <w:rsid w:val="0077763C"/>
    <w:rsid w:val="00777DBF"/>
    <w:rsid w:val="0079097E"/>
    <w:rsid w:val="00793ECB"/>
    <w:rsid w:val="007A4776"/>
    <w:rsid w:val="007A5DDC"/>
    <w:rsid w:val="007C1443"/>
    <w:rsid w:val="007C2185"/>
    <w:rsid w:val="007D65E4"/>
    <w:rsid w:val="007D7125"/>
    <w:rsid w:val="007F5809"/>
    <w:rsid w:val="008245AE"/>
    <w:rsid w:val="00830E71"/>
    <w:rsid w:val="00847829"/>
    <w:rsid w:val="00853335"/>
    <w:rsid w:val="008C4DE3"/>
    <w:rsid w:val="008D1C22"/>
    <w:rsid w:val="008D2F6E"/>
    <w:rsid w:val="008D6D16"/>
    <w:rsid w:val="008E5684"/>
    <w:rsid w:val="00904C3E"/>
    <w:rsid w:val="0091186E"/>
    <w:rsid w:val="0091599B"/>
    <w:rsid w:val="00917B41"/>
    <w:rsid w:val="0092447F"/>
    <w:rsid w:val="0095067B"/>
    <w:rsid w:val="00984441"/>
    <w:rsid w:val="00987527"/>
    <w:rsid w:val="00996434"/>
    <w:rsid w:val="009A0437"/>
    <w:rsid w:val="009D2C07"/>
    <w:rsid w:val="009E64BE"/>
    <w:rsid w:val="009F3E10"/>
    <w:rsid w:val="00A04EEF"/>
    <w:rsid w:val="00A13871"/>
    <w:rsid w:val="00A27262"/>
    <w:rsid w:val="00A9531E"/>
    <w:rsid w:val="00A95847"/>
    <w:rsid w:val="00AB4380"/>
    <w:rsid w:val="00AD0888"/>
    <w:rsid w:val="00AD5954"/>
    <w:rsid w:val="00AE34FE"/>
    <w:rsid w:val="00AE7B0E"/>
    <w:rsid w:val="00B028BF"/>
    <w:rsid w:val="00B06FAC"/>
    <w:rsid w:val="00B12F01"/>
    <w:rsid w:val="00B1530E"/>
    <w:rsid w:val="00B30669"/>
    <w:rsid w:val="00B41726"/>
    <w:rsid w:val="00B6422A"/>
    <w:rsid w:val="00B73D75"/>
    <w:rsid w:val="00B83D5F"/>
    <w:rsid w:val="00B8701D"/>
    <w:rsid w:val="00BD0240"/>
    <w:rsid w:val="00BE48DD"/>
    <w:rsid w:val="00BF44F1"/>
    <w:rsid w:val="00C1433E"/>
    <w:rsid w:val="00C15433"/>
    <w:rsid w:val="00C238FC"/>
    <w:rsid w:val="00C262CC"/>
    <w:rsid w:val="00C37688"/>
    <w:rsid w:val="00C45776"/>
    <w:rsid w:val="00C560CE"/>
    <w:rsid w:val="00C63664"/>
    <w:rsid w:val="00C63AC4"/>
    <w:rsid w:val="00C74AD1"/>
    <w:rsid w:val="00C947EB"/>
    <w:rsid w:val="00C94DAD"/>
    <w:rsid w:val="00CB6320"/>
    <w:rsid w:val="00CC71E7"/>
    <w:rsid w:val="00CF43CF"/>
    <w:rsid w:val="00D22D34"/>
    <w:rsid w:val="00D30168"/>
    <w:rsid w:val="00D307AE"/>
    <w:rsid w:val="00D307D3"/>
    <w:rsid w:val="00D377BF"/>
    <w:rsid w:val="00D41CFC"/>
    <w:rsid w:val="00D61C3B"/>
    <w:rsid w:val="00D70492"/>
    <w:rsid w:val="00D75CC8"/>
    <w:rsid w:val="00D85EF5"/>
    <w:rsid w:val="00D95020"/>
    <w:rsid w:val="00DC331C"/>
    <w:rsid w:val="00DD20AC"/>
    <w:rsid w:val="00DE19F1"/>
    <w:rsid w:val="00E00092"/>
    <w:rsid w:val="00E23BE7"/>
    <w:rsid w:val="00E76DB6"/>
    <w:rsid w:val="00E866C7"/>
    <w:rsid w:val="00E92B7A"/>
    <w:rsid w:val="00E9303E"/>
    <w:rsid w:val="00EB6450"/>
    <w:rsid w:val="00EC1156"/>
    <w:rsid w:val="00EC41DA"/>
    <w:rsid w:val="00EF2A6E"/>
    <w:rsid w:val="00F06899"/>
    <w:rsid w:val="00F40D93"/>
    <w:rsid w:val="00F61D80"/>
    <w:rsid w:val="00F74EF5"/>
    <w:rsid w:val="00F76FE4"/>
    <w:rsid w:val="00F84D8D"/>
    <w:rsid w:val="00F870EE"/>
    <w:rsid w:val="00F9714D"/>
    <w:rsid w:val="00FB48EF"/>
    <w:rsid w:val="00FC1FF4"/>
    <w:rsid w:val="00FC4DE8"/>
    <w:rsid w:val="00FC4FC5"/>
    <w:rsid w:val="00FE0B95"/>
    <w:rsid w:val="00FE75A8"/>
    <w:rsid w:val="00FF488A"/>
    <w:rsid w:val="267E01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C5578"/>
  <w15:chartTrackingRefBased/>
  <w15:docId w15:val="{57595EEA-41B7-4FA5-B6FD-3008AEC7B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76"/>
    <w:pPr>
      <w:spacing w:line="259" w:lineRule="auto"/>
    </w:pPr>
    <w:rPr>
      <w:sz w:val="22"/>
      <w:szCs w:val="22"/>
    </w:rPr>
  </w:style>
  <w:style w:type="paragraph" w:styleId="Ttulo1">
    <w:name w:val="heading 1"/>
    <w:basedOn w:val="Normal"/>
    <w:next w:val="Normal"/>
    <w:link w:val="Ttulo1Car"/>
    <w:uiPriority w:val="9"/>
    <w:qFormat/>
    <w:rsid w:val="00015E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15E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15E7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15E7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15E7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15E7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15E7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15E7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15E7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5E7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15E7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15E7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15E7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15E7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15E7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15E7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15E7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15E76"/>
    <w:rPr>
      <w:rFonts w:eastAsiaTheme="majorEastAsia" w:cstheme="majorBidi"/>
      <w:color w:val="272727" w:themeColor="text1" w:themeTint="D8"/>
    </w:rPr>
  </w:style>
  <w:style w:type="paragraph" w:styleId="Ttulo">
    <w:name w:val="Title"/>
    <w:basedOn w:val="Normal"/>
    <w:next w:val="Normal"/>
    <w:link w:val="TtuloCar"/>
    <w:uiPriority w:val="10"/>
    <w:qFormat/>
    <w:rsid w:val="00015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15E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15E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15E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15E76"/>
    <w:pPr>
      <w:spacing w:before="160"/>
      <w:jc w:val="center"/>
    </w:pPr>
    <w:rPr>
      <w:i/>
      <w:iCs/>
      <w:color w:val="404040" w:themeColor="text1" w:themeTint="BF"/>
    </w:rPr>
  </w:style>
  <w:style w:type="character" w:customStyle="1" w:styleId="CitaCar">
    <w:name w:val="Cita Car"/>
    <w:basedOn w:val="Fuentedeprrafopredeter"/>
    <w:link w:val="Cita"/>
    <w:uiPriority w:val="29"/>
    <w:rsid w:val="00015E76"/>
    <w:rPr>
      <w:i/>
      <w:iCs/>
      <w:color w:val="404040" w:themeColor="text1" w:themeTint="BF"/>
    </w:rPr>
  </w:style>
  <w:style w:type="paragraph" w:styleId="Prrafodelista">
    <w:name w:val="List Paragraph"/>
    <w:basedOn w:val="Normal"/>
    <w:uiPriority w:val="34"/>
    <w:qFormat/>
    <w:rsid w:val="00015E76"/>
    <w:pPr>
      <w:ind w:left="720"/>
      <w:contextualSpacing/>
    </w:pPr>
  </w:style>
  <w:style w:type="character" w:styleId="nfasisintenso">
    <w:name w:val="Intense Emphasis"/>
    <w:basedOn w:val="Fuentedeprrafopredeter"/>
    <w:uiPriority w:val="21"/>
    <w:qFormat/>
    <w:rsid w:val="00015E76"/>
    <w:rPr>
      <w:i/>
      <w:iCs/>
      <w:color w:val="0F4761" w:themeColor="accent1" w:themeShade="BF"/>
    </w:rPr>
  </w:style>
  <w:style w:type="paragraph" w:styleId="Citadestacada">
    <w:name w:val="Intense Quote"/>
    <w:basedOn w:val="Normal"/>
    <w:next w:val="Normal"/>
    <w:link w:val="CitadestacadaCar"/>
    <w:uiPriority w:val="30"/>
    <w:qFormat/>
    <w:rsid w:val="00015E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15E76"/>
    <w:rPr>
      <w:i/>
      <w:iCs/>
      <w:color w:val="0F4761" w:themeColor="accent1" w:themeShade="BF"/>
    </w:rPr>
  </w:style>
  <w:style w:type="character" w:styleId="Referenciaintensa">
    <w:name w:val="Intense Reference"/>
    <w:basedOn w:val="Fuentedeprrafopredeter"/>
    <w:uiPriority w:val="32"/>
    <w:qFormat/>
    <w:rsid w:val="00015E76"/>
    <w:rPr>
      <w:b/>
      <w:bCs/>
      <w:smallCaps/>
      <w:color w:val="0F4761" w:themeColor="accent1" w:themeShade="BF"/>
      <w:spacing w:val="5"/>
    </w:rPr>
  </w:style>
  <w:style w:type="paragraph" w:styleId="Encabezado">
    <w:name w:val="header"/>
    <w:basedOn w:val="Normal"/>
    <w:link w:val="EncabezadoCar"/>
    <w:uiPriority w:val="99"/>
    <w:unhideWhenUsed/>
    <w:rsid w:val="00015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5E76"/>
    <w:rPr>
      <w:sz w:val="22"/>
      <w:szCs w:val="22"/>
    </w:rPr>
  </w:style>
  <w:style w:type="paragraph" w:styleId="Piedepgina">
    <w:name w:val="footer"/>
    <w:basedOn w:val="Normal"/>
    <w:link w:val="PiedepginaCar"/>
    <w:uiPriority w:val="99"/>
    <w:unhideWhenUsed/>
    <w:rsid w:val="00015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5E76"/>
    <w:rPr>
      <w:sz w:val="22"/>
      <w:szCs w:val="22"/>
    </w:rPr>
  </w:style>
  <w:style w:type="character" w:styleId="Refdenotaalpie">
    <w:name w:val="footnote reference"/>
    <w:basedOn w:val="Fuentedeprrafopredeter"/>
    <w:uiPriority w:val="99"/>
    <w:semiHidden/>
    <w:unhideWhenUsed/>
    <w:rsid w:val="00015E76"/>
    <w:rPr>
      <w:vertAlign w:val="superscript"/>
    </w:rPr>
  </w:style>
  <w:style w:type="paragraph" w:styleId="Textonotapie">
    <w:name w:val="footnote text"/>
    <w:basedOn w:val="Normal"/>
    <w:link w:val="TextonotapieCar"/>
    <w:uiPriority w:val="99"/>
    <w:semiHidden/>
    <w:unhideWhenUsed/>
    <w:rsid w:val="00015E7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15E76"/>
    <w:rPr>
      <w:sz w:val="20"/>
      <w:szCs w:val="20"/>
    </w:rPr>
  </w:style>
  <w:style w:type="character" w:customStyle="1" w:styleId="apple-converted-space">
    <w:name w:val="apple-converted-space"/>
    <w:rsid w:val="00355472"/>
  </w:style>
  <w:style w:type="character" w:styleId="Refdecomentario">
    <w:name w:val="annotation reference"/>
    <w:basedOn w:val="Fuentedeprrafopredeter"/>
    <w:uiPriority w:val="99"/>
    <w:semiHidden/>
    <w:unhideWhenUsed/>
    <w:rsid w:val="008C4DE3"/>
    <w:rPr>
      <w:sz w:val="16"/>
      <w:szCs w:val="16"/>
    </w:rPr>
  </w:style>
  <w:style w:type="paragraph" w:styleId="Textocomentario">
    <w:name w:val="annotation text"/>
    <w:basedOn w:val="Normal"/>
    <w:link w:val="TextocomentarioCar"/>
    <w:uiPriority w:val="99"/>
    <w:semiHidden/>
    <w:unhideWhenUsed/>
    <w:rsid w:val="008C4DE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C4DE3"/>
    <w:rPr>
      <w:sz w:val="20"/>
      <w:szCs w:val="20"/>
    </w:rPr>
  </w:style>
  <w:style w:type="paragraph" w:styleId="Asuntodelcomentario">
    <w:name w:val="annotation subject"/>
    <w:basedOn w:val="Textocomentario"/>
    <w:next w:val="Textocomentario"/>
    <w:link w:val="AsuntodelcomentarioCar"/>
    <w:uiPriority w:val="99"/>
    <w:semiHidden/>
    <w:unhideWhenUsed/>
    <w:rsid w:val="008C4DE3"/>
    <w:rPr>
      <w:b/>
      <w:bCs/>
    </w:rPr>
  </w:style>
  <w:style w:type="character" w:customStyle="1" w:styleId="AsuntodelcomentarioCar">
    <w:name w:val="Asunto del comentario Car"/>
    <w:basedOn w:val="TextocomentarioCar"/>
    <w:link w:val="Asuntodelcomentario"/>
    <w:uiPriority w:val="99"/>
    <w:semiHidden/>
    <w:rsid w:val="008C4DE3"/>
    <w:rPr>
      <w:b/>
      <w:bCs/>
      <w:sz w:val="20"/>
      <w:szCs w:val="20"/>
    </w:rPr>
  </w:style>
  <w:style w:type="character" w:styleId="Hipervnculo">
    <w:name w:val="Hyperlink"/>
    <w:basedOn w:val="Fuentedeprrafopredeter"/>
    <w:uiPriority w:val="99"/>
    <w:unhideWhenUsed/>
    <w:rsid w:val="008C4DE3"/>
    <w:rPr>
      <w:color w:val="467886" w:themeColor="hyperlink"/>
      <w:u w:val="single"/>
    </w:rPr>
  </w:style>
  <w:style w:type="character" w:styleId="Mencinsinresolver">
    <w:name w:val="Unresolved Mention"/>
    <w:basedOn w:val="Fuentedeprrafopredeter"/>
    <w:uiPriority w:val="99"/>
    <w:semiHidden/>
    <w:unhideWhenUsed/>
    <w:rsid w:val="008C4DE3"/>
    <w:rPr>
      <w:color w:val="605E5C"/>
      <w:shd w:val="clear" w:color="auto" w:fill="E1DFDD"/>
    </w:rPr>
  </w:style>
  <w:style w:type="paragraph" w:styleId="Revisin">
    <w:name w:val="Revision"/>
    <w:hidden/>
    <w:uiPriority w:val="99"/>
    <w:semiHidden/>
    <w:rsid w:val="00F9714D"/>
    <w:pPr>
      <w:spacing w:after="0" w:line="240" w:lineRule="auto"/>
    </w:pPr>
    <w:rPr>
      <w:sz w:val="22"/>
      <w:szCs w:val="22"/>
    </w:rPr>
  </w:style>
  <w:style w:type="character" w:styleId="Hipervnculovisitado">
    <w:name w:val="FollowedHyperlink"/>
    <w:basedOn w:val="Fuentedeprrafopredeter"/>
    <w:uiPriority w:val="99"/>
    <w:semiHidden/>
    <w:unhideWhenUsed/>
    <w:rsid w:val="002F1947"/>
    <w:rPr>
      <w:color w:val="96607D" w:themeColor="followedHyperlink"/>
      <w:u w:val="single"/>
    </w:rPr>
  </w:style>
  <w:style w:type="table" w:styleId="Tablaconcuadrcula">
    <w:name w:val="Table Grid"/>
    <w:basedOn w:val="Tablanormal"/>
    <w:uiPriority w:val="39"/>
    <w:rsid w:val="002F1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514863">
      <w:bodyDiv w:val="1"/>
      <w:marLeft w:val="0"/>
      <w:marRight w:val="0"/>
      <w:marTop w:val="0"/>
      <w:marBottom w:val="0"/>
      <w:divBdr>
        <w:top w:val="none" w:sz="0" w:space="0" w:color="auto"/>
        <w:left w:val="none" w:sz="0" w:space="0" w:color="auto"/>
        <w:bottom w:val="none" w:sz="0" w:space="0" w:color="auto"/>
        <w:right w:val="none" w:sz="0" w:space="0" w:color="auto"/>
      </w:divBdr>
      <w:divsChild>
        <w:div w:id="1566647359">
          <w:marLeft w:val="0"/>
          <w:marRight w:val="0"/>
          <w:marTop w:val="0"/>
          <w:marBottom w:val="0"/>
          <w:divBdr>
            <w:top w:val="none" w:sz="0" w:space="0" w:color="auto"/>
            <w:left w:val="none" w:sz="0" w:space="0" w:color="auto"/>
            <w:bottom w:val="none" w:sz="0" w:space="0" w:color="auto"/>
            <w:right w:val="none" w:sz="0" w:space="0" w:color="auto"/>
          </w:divBdr>
          <w:divsChild>
            <w:div w:id="1849442825">
              <w:marLeft w:val="0"/>
              <w:marRight w:val="0"/>
              <w:marTop w:val="0"/>
              <w:marBottom w:val="0"/>
              <w:divBdr>
                <w:top w:val="none" w:sz="0" w:space="0" w:color="auto"/>
                <w:left w:val="none" w:sz="0" w:space="0" w:color="auto"/>
                <w:bottom w:val="none" w:sz="0" w:space="0" w:color="auto"/>
                <w:right w:val="none" w:sz="0" w:space="0" w:color="auto"/>
              </w:divBdr>
              <w:divsChild>
                <w:div w:id="3226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19336">
      <w:bodyDiv w:val="1"/>
      <w:marLeft w:val="0"/>
      <w:marRight w:val="0"/>
      <w:marTop w:val="0"/>
      <w:marBottom w:val="0"/>
      <w:divBdr>
        <w:top w:val="none" w:sz="0" w:space="0" w:color="auto"/>
        <w:left w:val="none" w:sz="0" w:space="0" w:color="auto"/>
        <w:bottom w:val="none" w:sz="0" w:space="0" w:color="auto"/>
        <w:right w:val="none" w:sz="0" w:space="0" w:color="auto"/>
      </w:divBdr>
      <w:divsChild>
        <w:div w:id="547837223">
          <w:marLeft w:val="0"/>
          <w:marRight w:val="0"/>
          <w:marTop w:val="0"/>
          <w:marBottom w:val="0"/>
          <w:divBdr>
            <w:top w:val="none" w:sz="0" w:space="0" w:color="auto"/>
            <w:left w:val="none" w:sz="0" w:space="0" w:color="auto"/>
            <w:bottom w:val="none" w:sz="0" w:space="0" w:color="auto"/>
            <w:right w:val="none" w:sz="0" w:space="0" w:color="auto"/>
          </w:divBdr>
          <w:divsChild>
            <w:div w:id="245189958">
              <w:marLeft w:val="0"/>
              <w:marRight w:val="0"/>
              <w:marTop w:val="0"/>
              <w:marBottom w:val="0"/>
              <w:divBdr>
                <w:top w:val="none" w:sz="0" w:space="0" w:color="auto"/>
                <w:left w:val="none" w:sz="0" w:space="0" w:color="auto"/>
                <w:bottom w:val="none" w:sz="0" w:space="0" w:color="auto"/>
                <w:right w:val="none" w:sz="0" w:space="0" w:color="auto"/>
              </w:divBdr>
              <w:divsChild>
                <w:div w:id="13391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esosjudiciales@procuradur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9474D-3BC3-4FCB-B9F1-623A040E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4</Pages>
  <Words>1387</Words>
  <Characters>7630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Marisel Moreno Arenas</dc:creator>
  <cp:keywords/>
  <dc:description/>
  <cp:lastModifiedBy>Harrison Amézquita Gama</cp:lastModifiedBy>
  <cp:revision>22</cp:revision>
  <dcterms:created xsi:type="dcterms:W3CDTF">2026-04-28T01:13:00Z</dcterms:created>
  <dcterms:modified xsi:type="dcterms:W3CDTF">2026-05-27T22:25:00Z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2026-05-27T18:49:53Z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65173657-f4d2-4ff5-91b7-24864aeedb61</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